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4D7C" w14:textId="3EF7176E" w:rsidR="009D25DE" w:rsidRPr="009D25DE" w:rsidRDefault="009D25DE" w:rsidP="009D25DE">
      <w:pPr>
        <w:pStyle w:val="Heading1"/>
        <w:rPr>
          <w:rFonts w:eastAsia="MS Gothic"/>
          <w:sz w:val="22"/>
          <w:szCs w:val="22"/>
        </w:rPr>
      </w:pPr>
      <w:bookmarkStart w:id="0" w:name="_Toc35839312"/>
      <w:bookmarkStart w:id="1" w:name="_Toc54569929"/>
      <w:r>
        <w:rPr>
          <w:rFonts w:asciiTheme="minorHAnsi" w:hAnsiTheme="minorHAnsi" w:cstheme="minorHAnsi"/>
          <w:sz w:val="26"/>
          <w:szCs w:val="26"/>
        </w:rPr>
        <w:t>G</w:t>
      </w:r>
      <w:r w:rsidRPr="00165CBD">
        <w:rPr>
          <w:rFonts w:asciiTheme="minorHAnsi" w:hAnsiTheme="minorHAnsi" w:cstheme="minorHAnsi"/>
          <w:sz w:val="26"/>
          <w:szCs w:val="26"/>
        </w:rPr>
        <w:t>lobal Cancer Update Programme</w:t>
      </w:r>
      <w:r>
        <w:rPr>
          <w:rFonts w:asciiTheme="minorHAnsi" w:hAnsiTheme="minorHAnsi" w:cstheme="minorHAnsi"/>
          <w:sz w:val="26"/>
          <w:szCs w:val="26"/>
        </w:rPr>
        <w:t xml:space="preserve"> (CUP </w:t>
      </w:r>
      <w:proofErr w:type="gramStart"/>
      <w:r>
        <w:rPr>
          <w:rFonts w:asciiTheme="minorHAnsi" w:hAnsiTheme="minorHAnsi" w:cstheme="minorHAnsi"/>
          <w:sz w:val="26"/>
          <w:szCs w:val="26"/>
        </w:rPr>
        <w:t>Global)*</w:t>
      </w:r>
      <w:proofErr w:type="gramEnd"/>
      <w:r>
        <w:rPr>
          <w:rFonts w:eastAsia="MS Gothic"/>
        </w:rPr>
        <w:t xml:space="preserve">: </w:t>
      </w:r>
      <w:r w:rsidRPr="009D25DE">
        <w:rPr>
          <w:rFonts w:eastAsia="MS Gothic"/>
        </w:rPr>
        <w:t>Protocol for the data collection and systematic literature reviews on the role of diet, nutrition and physical activity on outcomes after diagnosis of breast cancer</w:t>
      </w:r>
    </w:p>
    <w:p w14:paraId="74BDA746" w14:textId="18D62F04" w:rsidR="009D25DE" w:rsidRPr="009D25DE" w:rsidRDefault="009D25DE" w:rsidP="009D25DE">
      <w:pPr>
        <w:pStyle w:val="Heading1"/>
        <w:rPr>
          <w:rFonts w:eastAsia="MS Gothic"/>
          <w:b w:val="0"/>
          <w:bCs w:val="0"/>
          <w:sz w:val="22"/>
          <w:szCs w:val="22"/>
        </w:rPr>
      </w:pPr>
      <w:r w:rsidRPr="009D25DE">
        <w:rPr>
          <w:rFonts w:eastAsia="MS Gothic"/>
          <w:b w:val="0"/>
          <w:bCs w:val="0"/>
          <w:sz w:val="22"/>
          <w:szCs w:val="22"/>
        </w:rPr>
        <w:t>*Formerly known as World Cancer Research Fund/American Institute for Cancer Research Continuous Update Project</w:t>
      </w:r>
    </w:p>
    <w:p w14:paraId="6BD66193" w14:textId="7897AE55" w:rsidR="009D25DE" w:rsidRDefault="009D25DE" w:rsidP="009D25DE">
      <w:pPr>
        <w:keepNext/>
        <w:keepLines/>
        <w:spacing w:after="120" w:line="276" w:lineRule="auto"/>
        <w:outlineLvl w:val="0"/>
        <w:rPr>
          <w:rFonts w:ascii="Calibri" w:eastAsia="MS Gothic" w:hAnsi="Calibri" w:cs="Calibri"/>
          <w:b/>
        </w:rPr>
      </w:pPr>
    </w:p>
    <w:p w14:paraId="4183E445" w14:textId="77777777" w:rsidR="009D25DE" w:rsidRPr="00276ADC" w:rsidRDefault="009D25DE" w:rsidP="009D25DE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276ADC">
        <w:rPr>
          <w:rFonts w:asciiTheme="minorHAnsi" w:hAnsiTheme="minorHAnsi" w:cstheme="minorHAnsi"/>
          <w:sz w:val="26"/>
          <w:szCs w:val="26"/>
        </w:rPr>
        <w:t>Modification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276ADC">
        <w:rPr>
          <w:rFonts w:asciiTheme="minorHAnsi" w:hAnsiTheme="minorHAnsi" w:cstheme="minorHAnsi"/>
          <w:sz w:val="26"/>
          <w:szCs w:val="26"/>
        </w:rPr>
        <w:t xml:space="preserve"> to </w:t>
      </w:r>
      <w:r>
        <w:rPr>
          <w:rFonts w:asciiTheme="minorHAnsi" w:hAnsiTheme="minorHAnsi" w:cstheme="minorHAnsi"/>
          <w:sz w:val="26"/>
          <w:szCs w:val="26"/>
        </w:rPr>
        <w:t xml:space="preserve">the </w:t>
      </w:r>
      <w:r w:rsidRPr="00276ADC">
        <w:rPr>
          <w:rFonts w:asciiTheme="minorHAnsi" w:hAnsiTheme="minorHAnsi" w:cstheme="minorHAnsi"/>
          <w:sz w:val="26"/>
          <w:szCs w:val="26"/>
        </w:rPr>
        <w:t xml:space="preserve">review protocol </w:t>
      </w:r>
    </w:p>
    <w:p w14:paraId="0DC645E9" w14:textId="77777777" w:rsidR="00203191" w:rsidRDefault="00203191" w:rsidP="009D25DE">
      <w:pPr>
        <w:keepNext/>
        <w:keepLines/>
        <w:spacing w:after="120" w:line="276" w:lineRule="auto"/>
        <w:outlineLvl w:val="0"/>
        <w:rPr>
          <w:rFonts w:ascii="Calibri" w:eastAsia="MS Gothic" w:hAnsi="Calibri" w:cs="Calibri"/>
          <w:b/>
        </w:rPr>
      </w:pPr>
    </w:p>
    <w:p w14:paraId="3995A057" w14:textId="246A2D6A" w:rsidR="009D25DE" w:rsidRPr="009D25DE" w:rsidRDefault="009D25DE" w:rsidP="009D25DE">
      <w:pPr>
        <w:pStyle w:val="Heading1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8 July</w:t>
      </w:r>
      <w:r w:rsidRPr="00276ADC">
        <w:rPr>
          <w:rFonts w:asciiTheme="minorHAnsi" w:hAnsiTheme="minorHAnsi" w:cstheme="minorHAnsi"/>
          <w:sz w:val="26"/>
          <w:szCs w:val="26"/>
        </w:rPr>
        <w:t xml:space="preserve"> 202</w:t>
      </w:r>
      <w:r>
        <w:rPr>
          <w:rFonts w:asciiTheme="minorHAnsi" w:hAnsiTheme="minorHAnsi" w:cstheme="minorHAnsi"/>
          <w:sz w:val="26"/>
          <w:szCs w:val="26"/>
        </w:rPr>
        <w:t>0</w:t>
      </w:r>
    </w:p>
    <w:bookmarkEnd w:id="0"/>
    <w:bookmarkEnd w:id="1"/>
    <w:p w14:paraId="257118B2" w14:textId="77777777" w:rsidR="009D25DE" w:rsidRPr="009D25D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The protocol is developed for the systematic literature review and meta-analysis of epidemiological studies on lifestyle factors – nutrition, diet, body size and physical activity – before and after breast cancer diagnosis and their relationships with survival and disease recurrence. </w:t>
      </w:r>
    </w:p>
    <w:p w14:paraId="7ECD38CE" w14:textId="17AE0CE3" w:rsidR="009D25DE" w:rsidRPr="009D25D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The </w:t>
      </w:r>
      <w:r w:rsidR="00FC0CA9" w:rsidRPr="00276ADC">
        <w:rPr>
          <w:rFonts w:cstheme="minorHAnsi"/>
        </w:rPr>
        <w:t xml:space="preserve">first systematic literature review focuses </w:t>
      </w:r>
      <w:r w:rsidRPr="009D25DE">
        <w:rPr>
          <w:rFonts w:ascii="Calibri" w:eastAsia="Calibri" w:hAnsi="Calibri" w:cs="Calibri"/>
        </w:rPr>
        <w:t xml:space="preserve">on the role of the lifestyle factors after cancer diagnosis.  </w:t>
      </w:r>
    </w:p>
    <w:p w14:paraId="76325EA4" w14:textId="77777777" w:rsidR="005563A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Intervention/exposures: </w:t>
      </w:r>
    </w:p>
    <w:p w14:paraId="66D8C8C1" w14:textId="4324CF52" w:rsidR="00FC0CA9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An overview of the findings </w:t>
      </w:r>
      <w:r w:rsidR="00FC0CA9">
        <w:rPr>
          <w:rFonts w:ascii="Calibri" w:eastAsia="Calibri" w:hAnsi="Calibri" w:cs="Calibri"/>
        </w:rPr>
        <w:t xml:space="preserve">will be </w:t>
      </w:r>
      <w:r w:rsidRPr="009D25DE">
        <w:rPr>
          <w:rFonts w:ascii="Calibri" w:eastAsia="Calibri" w:hAnsi="Calibri" w:cs="Calibri"/>
        </w:rPr>
        <w:t xml:space="preserve">conducted for each post-diagnosis lifestyle factor that met the review criteria. All post-diagnosis results </w:t>
      </w:r>
      <w:r w:rsidR="00FC0CA9">
        <w:rPr>
          <w:rFonts w:ascii="Calibri" w:eastAsia="Calibri" w:hAnsi="Calibri" w:cs="Calibri"/>
        </w:rPr>
        <w:t xml:space="preserve">will be </w:t>
      </w:r>
      <w:r w:rsidRPr="009D25DE">
        <w:rPr>
          <w:rFonts w:ascii="Calibri" w:eastAsia="Calibri" w:hAnsi="Calibri" w:cs="Calibri"/>
        </w:rPr>
        <w:t xml:space="preserve">pooled in a meta-analysis when enough studies have reported data sufficient for analysis. When possible, subgroup meta-analysis </w:t>
      </w:r>
      <w:r w:rsidR="00FC0CA9">
        <w:rPr>
          <w:rFonts w:ascii="Calibri" w:eastAsia="Calibri" w:hAnsi="Calibri" w:cs="Calibri"/>
        </w:rPr>
        <w:t xml:space="preserve">will be </w:t>
      </w:r>
      <w:r w:rsidRPr="009D25DE">
        <w:rPr>
          <w:rFonts w:ascii="Calibri" w:eastAsia="Calibri" w:hAnsi="Calibri" w:cs="Calibri"/>
        </w:rPr>
        <w:t xml:space="preserve">conducted to restrict the studies by exposure timing respective to cancer treatment (before, during, and/or after neoadjuvant/adjuvant treatment is completed). The purpose </w:t>
      </w:r>
      <w:r w:rsidR="00FC0CA9">
        <w:rPr>
          <w:rFonts w:ascii="Calibri" w:eastAsia="Calibri" w:hAnsi="Calibri" w:cs="Calibri"/>
        </w:rPr>
        <w:t>i</w:t>
      </w:r>
      <w:r w:rsidRPr="009D25DE">
        <w:rPr>
          <w:rFonts w:ascii="Calibri" w:eastAsia="Calibri" w:hAnsi="Calibri" w:cs="Calibri"/>
        </w:rPr>
        <w:t xml:space="preserve">s to separate the studies in which participants may have changed lifestyle factors due to the treatment. </w:t>
      </w:r>
    </w:p>
    <w:p w14:paraId="2BDCB0A9" w14:textId="77777777" w:rsidR="005563A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Outcomes: </w:t>
      </w:r>
    </w:p>
    <w:p w14:paraId="56776D9E" w14:textId="0565C253" w:rsidR="009D25DE" w:rsidRPr="009D25D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>The outcomes</w:t>
      </w:r>
      <w:r w:rsidR="00FC0CA9">
        <w:rPr>
          <w:rFonts w:ascii="Calibri" w:eastAsia="Calibri" w:hAnsi="Calibri" w:cs="Calibri"/>
        </w:rPr>
        <w:t xml:space="preserve"> to</w:t>
      </w:r>
      <w:r w:rsidRPr="009D25DE">
        <w:rPr>
          <w:rFonts w:ascii="Calibri" w:eastAsia="Calibri" w:hAnsi="Calibri" w:cs="Calibri"/>
        </w:rPr>
        <w:t xml:space="preserve"> investigate</w:t>
      </w:r>
      <w:r w:rsidR="00FC0CA9">
        <w:rPr>
          <w:rFonts w:ascii="Calibri" w:eastAsia="Calibri" w:hAnsi="Calibri" w:cs="Calibri"/>
        </w:rPr>
        <w:t xml:space="preserve"> are</w:t>
      </w:r>
      <w:r w:rsidRPr="009D25DE">
        <w:rPr>
          <w:rFonts w:ascii="Calibri" w:eastAsia="Calibri" w:hAnsi="Calibri" w:cs="Calibri"/>
        </w:rPr>
        <w:t xml:space="preserve"> overall survival (all-cause mortality or total mortality), breast cancer-specific survival, other causes of death, breast cancer recurrence, and second primary cancer.</w:t>
      </w:r>
    </w:p>
    <w:p w14:paraId="3EB52C74" w14:textId="068EF650" w:rsidR="009D25DE" w:rsidRPr="009D25DE" w:rsidRDefault="009D25DE" w:rsidP="00FC0CA9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Breast cancer recurrence </w:t>
      </w:r>
      <w:r w:rsidR="00FC0CA9">
        <w:rPr>
          <w:rFonts w:ascii="Calibri" w:eastAsia="Calibri" w:hAnsi="Calibri" w:cs="Calibri"/>
        </w:rPr>
        <w:t>is</w:t>
      </w:r>
      <w:r w:rsidRPr="009D25DE">
        <w:rPr>
          <w:rFonts w:ascii="Calibri" w:eastAsia="Calibri" w:hAnsi="Calibri" w:cs="Calibri"/>
        </w:rPr>
        <w:t xml:space="preserve"> defined differently in the studies. In some studies, the term “recurrence/relapse-free survival” or “breast cancer recurrence” is used; while in others, the terms “disease-free survival”, “event-free survival”, “progression-free survival”, or “additional breast cancer events” is used. In some studies, the events included in the definition of recurrence are local, regional and/or distant recurrence (metastasis). Other studies include second primary cancer, breast cancer-related death, any cause of death, or any combination of these as events. For each factor </w:t>
      </w:r>
      <w:r w:rsidR="00FC0CA9">
        <w:rPr>
          <w:rFonts w:ascii="Calibri" w:eastAsia="Calibri" w:hAnsi="Calibri" w:cs="Calibri"/>
        </w:rPr>
        <w:t xml:space="preserve">to </w:t>
      </w:r>
      <w:r w:rsidRPr="009D25DE">
        <w:rPr>
          <w:rFonts w:ascii="Calibri" w:eastAsia="Calibri" w:hAnsi="Calibri" w:cs="Calibri"/>
        </w:rPr>
        <w:t xml:space="preserve">review, all the studies </w:t>
      </w:r>
      <w:r w:rsidR="00FC0CA9">
        <w:rPr>
          <w:rFonts w:ascii="Calibri" w:eastAsia="Calibri" w:hAnsi="Calibri" w:cs="Calibri"/>
        </w:rPr>
        <w:t>will be</w:t>
      </w:r>
      <w:r w:rsidRPr="009D25DE">
        <w:rPr>
          <w:rFonts w:ascii="Calibri" w:eastAsia="Calibri" w:hAnsi="Calibri" w:cs="Calibri"/>
        </w:rPr>
        <w:t xml:space="preserve"> reviewed under “recurrence” because of the</w:t>
      </w:r>
      <w:r w:rsidR="00FC0CA9">
        <w:rPr>
          <w:rFonts w:ascii="Calibri" w:eastAsia="Calibri" w:hAnsi="Calibri" w:cs="Calibri"/>
        </w:rPr>
        <w:t xml:space="preserve"> generally</w:t>
      </w:r>
      <w:r w:rsidRPr="009D25DE">
        <w:rPr>
          <w:rFonts w:ascii="Calibri" w:eastAsia="Calibri" w:hAnsi="Calibri" w:cs="Calibri"/>
        </w:rPr>
        <w:t xml:space="preserve"> limited number of studies with recurrence as outcome. For BMI, the number of studies </w:t>
      </w:r>
      <w:r w:rsidR="00FC0CA9">
        <w:rPr>
          <w:rFonts w:ascii="Calibri" w:eastAsia="Calibri" w:hAnsi="Calibri" w:cs="Calibri"/>
        </w:rPr>
        <w:t xml:space="preserve">is likely large, and will likely </w:t>
      </w:r>
      <w:r w:rsidRPr="009D25DE">
        <w:rPr>
          <w:rFonts w:ascii="Calibri" w:eastAsia="Calibri" w:hAnsi="Calibri" w:cs="Calibri"/>
        </w:rPr>
        <w:t xml:space="preserve">allow additional analysis by recurrence type, mainly whether non breast cancer-related deaths or any cause of death </w:t>
      </w:r>
      <w:r w:rsidR="00FC0CA9">
        <w:rPr>
          <w:rFonts w:ascii="Calibri" w:eastAsia="Calibri" w:hAnsi="Calibri" w:cs="Calibri"/>
        </w:rPr>
        <w:t>are</w:t>
      </w:r>
      <w:r w:rsidRPr="009D25DE">
        <w:rPr>
          <w:rFonts w:ascii="Calibri" w:eastAsia="Calibri" w:hAnsi="Calibri" w:cs="Calibri"/>
        </w:rPr>
        <w:t xml:space="preserve"> included. </w:t>
      </w:r>
    </w:p>
    <w:p w14:paraId="6C36B29B" w14:textId="1C83F2ED" w:rsidR="00203191" w:rsidRDefault="0083166B" w:rsidP="009D25DE">
      <w:pP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Evidence</w:t>
      </w:r>
      <w:r w:rsidR="00203191">
        <w:rPr>
          <w:rFonts w:ascii="Calibri" w:eastAsia="Calibri" w:hAnsi="Calibri" w:cs="Calibri"/>
        </w:rPr>
        <w:t xml:space="preserve"> quality/risk of bias assessment:</w:t>
      </w:r>
    </w:p>
    <w:p w14:paraId="702B90FC" w14:textId="45E95202" w:rsidR="0083166B" w:rsidRDefault="00806004" w:rsidP="009D25DE">
      <w:pP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 w:rsidR="009D25DE" w:rsidRPr="009D25DE">
        <w:rPr>
          <w:rFonts w:ascii="Calibri" w:eastAsia="Calibri" w:hAnsi="Calibri" w:cs="Calibri"/>
        </w:rPr>
        <w:t xml:space="preserve"> main issues in the identified studies that can affect the quality of the review, including selection bias, study power, measurement error, outcome assessment, losses to follow-up, and residual confounding, rather than an individual assessment of study quality</w:t>
      </w:r>
      <w:r w:rsidR="004763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83166B">
        <w:rPr>
          <w:rFonts w:ascii="Calibri" w:eastAsia="Calibri" w:hAnsi="Calibri" w:cs="Calibri"/>
        </w:rPr>
        <w:t>will be</w:t>
      </w:r>
      <w:r>
        <w:rPr>
          <w:rFonts w:ascii="Calibri" w:eastAsia="Calibri" w:hAnsi="Calibri" w:cs="Calibri"/>
        </w:rPr>
        <w:t xml:space="preserve"> </w:t>
      </w:r>
      <w:r w:rsidR="0047639E">
        <w:rPr>
          <w:rFonts w:ascii="Calibri" w:eastAsia="Calibri" w:hAnsi="Calibri" w:cs="Calibri"/>
        </w:rPr>
        <w:t>evaluated</w:t>
      </w:r>
      <w:r w:rsidR="009D25DE" w:rsidRPr="009D25DE">
        <w:rPr>
          <w:rFonts w:ascii="Calibri" w:eastAsia="Calibri" w:hAnsi="Calibri" w:cs="Calibri"/>
        </w:rPr>
        <w:t xml:space="preserve">. </w:t>
      </w:r>
    </w:p>
    <w:p w14:paraId="403051F2" w14:textId="2B68D7CD" w:rsidR="009D25DE" w:rsidRPr="009D25D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lastRenderedPageBreak/>
        <w:t xml:space="preserve">The results of the tests for publication bias and heterogeneity statistics </w:t>
      </w:r>
      <w:r w:rsidR="00FC0CA9">
        <w:rPr>
          <w:rFonts w:ascii="Calibri" w:eastAsia="Calibri" w:hAnsi="Calibri" w:cs="Calibri"/>
        </w:rPr>
        <w:t xml:space="preserve">will be </w:t>
      </w:r>
      <w:r w:rsidRPr="009D25DE">
        <w:rPr>
          <w:rFonts w:ascii="Calibri" w:eastAsia="Calibri" w:hAnsi="Calibri" w:cs="Calibri"/>
        </w:rPr>
        <w:t xml:space="preserve">indicated in tables and figures. In general, there </w:t>
      </w:r>
      <w:r w:rsidR="00FC0CA9">
        <w:rPr>
          <w:rFonts w:ascii="Calibri" w:eastAsia="Calibri" w:hAnsi="Calibri" w:cs="Calibri"/>
        </w:rPr>
        <w:t xml:space="preserve">may not be </w:t>
      </w:r>
      <w:r w:rsidRPr="009D25DE">
        <w:rPr>
          <w:rFonts w:ascii="Calibri" w:eastAsia="Calibri" w:hAnsi="Calibri" w:cs="Calibri"/>
        </w:rPr>
        <w:t xml:space="preserve">enough studies to formally explore heterogeneity sources. </w:t>
      </w:r>
    </w:p>
    <w:p w14:paraId="4FF34F52" w14:textId="3C03F4AE" w:rsidR="00203191" w:rsidRDefault="00203191" w:rsidP="009D25DE">
      <w:pPr>
        <w:spacing w:after="12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Evidence synthesis:</w:t>
      </w:r>
    </w:p>
    <w:p w14:paraId="18C495D8" w14:textId="508483A9" w:rsidR="009D25DE" w:rsidRPr="009D25DE" w:rsidRDefault="009D25DE" w:rsidP="009D25DE">
      <w:pPr>
        <w:spacing w:after="120" w:line="276" w:lineRule="auto"/>
        <w:rPr>
          <w:rFonts w:ascii="Calibri" w:eastAsia="Calibri" w:hAnsi="Calibri" w:cs="Calibri"/>
        </w:rPr>
      </w:pPr>
      <w:r w:rsidRPr="009D25DE">
        <w:rPr>
          <w:rFonts w:ascii="Calibri" w:eastAsia="Calibri" w:hAnsi="Calibri" w:cs="Calibri"/>
        </w:rPr>
        <w:t xml:space="preserve">Linear-dose response meta-analysis </w:t>
      </w:r>
      <w:r w:rsidR="00FC0CA9">
        <w:rPr>
          <w:rFonts w:ascii="Calibri" w:eastAsia="Calibri" w:hAnsi="Calibri" w:cs="Calibri"/>
        </w:rPr>
        <w:t>will be</w:t>
      </w:r>
      <w:r w:rsidRPr="009D25DE">
        <w:rPr>
          <w:rFonts w:ascii="Calibri" w:eastAsia="Calibri" w:hAnsi="Calibri" w:cs="Calibri"/>
        </w:rPr>
        <w:t xml:space="preserve"> conducted when there </w:t>
      </w:r>
      <w:r w:rsidR="00FC0CA9">
        <w:rPr>
          <w:rFonts w:ascii="Calibri" w:eastAsia="Calibri" w:hAnsi="Calibri" w:cs="Calibri"/>
        </w:rPr>
        <w:t>are</w:t>
      </w:r>
      <w:r w:rsidRPr="009D25DE">
        <w:rPr>
          <w:rFonts w:ascii="Calibri" w:eastAsia="Calibri" w:hAnsi="Calibri" w:cs="Calibri"/>
        </w:rPr>
        <w:t xml:space="preserve"> at least three comparable observational studies with the required data to do the </w:t>
      </w:r>
      <w:r w:rsidRPr="00BD4C96">
        <w:rPr>
          <w:rFonts w:ascii="Calibri" w:eastAsia="Calibri" w:hAnsi="Calibri" w:cs="Calibri"/>
        </w:rPr>
        <w:t xml:space="preserve">analysis. Meta-analysis of randomised controlled trials </w:t>
      </w:r>
      <w:r w:rsidR="00BD4C96">
        <w:rPr>
          <w:rFonts w:ascii="Calibri" w:eastAsia="Calibri" w:hAnsi="Calibri" w:cs="Calibri"/>
        </w:rPr>
        <w:t>will be</w:t>
      </w:r>
      <w:r w:rsidRPr="00BD4C96">
        <w:rPr>
          <w:rFonts w:ascii="Calibri" w:eastAsia="Calibri" w:hAnsi="Calibri" w:cs="Calibri"/>
        </w:rPr>
        <w:t xml:space="preserve"> conducted when there </w:t>
      </w:r>
      <w:r w:rsidR="00BD4C96" w:rsidRPr="00BD4C96">
        <w:rPr>
          <w:rFonts w:ascii="Calibri" w:eastAsia="Calibri" w:hAnsi="Calibri" w:cs="Calibri"/>
        </w:rPr>
        <w:t>are</w:t>
      </w:r>
      <w:r w:rsidRPr="00BD4C96">
        <w:rPr>
          <w:rFonts w:ascii="Calibri" w:eastAsia="Calibri" w:hAnsi="Calibri" w:cs="Calibri"/>
        </w:rPr>
        <w:t xml:space="preserve"> at least two studies reporting comparable data.</w:t>
      </w:r>
      <w:r w:rsidRPr="009D25DE">
        <w:rPr>
          <w:rFonts w:ascii="Calibri" w:eastAsia="Calibri" w:hAnsi="Calibri" w:cs="Calibri"/>
        </w:rPr>
        <w:t xml:space="preserve"> Highest versus lowest forest plots show</w:t>
      </w:r>
      <w:r w:rsidR="00FC0CA9">
        <w:rPr>
          <w:rFonts w:ascii="Calibri" w:eastAsia="Calibri" w:hAnsi="Calibri" w:cs="Calibri"/>
        </w:rPr>
        <w:t>ing</w:t>
      </w:r>
      <w:r w:rsidRPr="009D25DE">
        <w:rPr>
          <w:rFonts w:ascii="Calibri" w:eastAsia="Calibri" w:hAnsi="Calibri" w:cs="Calibri"/>
        </w:rPr>
        <w:t xml:space="preserve"> the relative risk estimates for the highest category compared with the reference category in each study</w:t>
      </w:r>
      <w:r w:rsidR="00FC0CA9">
        <w:rPr>
          <w:rFonts w:ascii="Calibri" w:eastAsia="Calibri" w:hAnsi="Calibri" w:cs="Calibri"/>
        </w:rPr>
        <w:t xml:space="preserve"> will be produced to aid results interpretation</w:t>
      </w:r>
      <w:r w:rsidR="00BD4C96">
        <w:rPr>
          <w:rFonts w:ascii="Calibri" w:eastAsia="Calibri" w:hAnsi="Calibri" w:cs="Calibri"/>
        </w:rPr>
        <w:t xml:space="preserve">, in particular for when a dose-response meta-analysis is not </w:t>
      </w:r>
      <w:proofErr w:type="gramStart"/>
      <w:r w:rsidR="00BD4C96">
        <w:rPr>
          <w:rFonts w:ascii="Calibri" w:eastAsia="Calibri" w:hAnsi="Calibri" w:cs="Calibri"/>
        </w:rPr>
        <w:t>possible</w:t>
      </w:r>
      <w:proofErr w:type="gramEnd"/>
      <w:r w:rsidR="00BD4C96">
        <w:rPr>
          <w:rFonts w:ascii="Calibri" w:eastAsia="Calibri" w:hAnsi="Calibri" w:cs="Calibri"/>
        </w:rPr>
        <w:t xml:space="preserve"> and the evidence is narratively synthesised</w:t>
      </w:r>
      <w:r w:rsidRPr="009D25DE">
        <w:rPr>
          <w:rFonts w:ascii="Calibri" w:eastAsia="Calibri" w:hAnsi="Calibri" w:cs="Calibri"/>
        </w:rPr>
        <w:t xml:space="preserve">. The overall summary estimate </w:t>
      </w:r>
      <w:r w:rsidR="00FC0CA9">
        <w:rPr>
          <w:rFonts w:ascii="Calibri" w:eastAsia="Calibri" w:hAnsi="Calibri" w:cs="Calibri"/>
        </w:rPr>
        <w:t>will</w:t>
      </w:r>
      <w:r w:rsidRPr="009D25DE">
        <w:rPr>
          <w:rFonts w:ascii="Calibri" w:eastAsia="Calibri" w:hAnsi="Calibri" w:cs="Calibri"/>
        </w:rPr>
        <w:t xml:space="preserve"> not </w:t>
      </w:r>
      <w:r w:rsidR="00FC0CA9">
        <w:rPr>
          <w:rFonts w:ascii="Calibri" w:eastAsia="Calibri" w:hAnsi="Calibri" w:cs="Calibri"/>
        </w:rPr>
        <w:t xml:space="preserve">be </w:t>
      </w:r>
      <w:r w:rsidRPr="009D25DE">
        <w:rPr>
          <w:rFonts w:ascii="Calibri" w:eastAsia="Calibri" w:hAnsi="Calibri" w:cs="Calibri"/>
        </w:rPr>
        <w:t xml:space="preserve">calculated, except for </w:t>
      </w:r>
      <w:r w:rsidR="00FC0CA9">
        <w:rPr>
          <w:rFonts w:ascii="Calibri" w:eastAsia="Calibri" w:hAnsi="Calibri" w:cs="Calibri"/>
        </w:rPr>
        <w:t xml:space="preserve">the </w:t>
      </w:r>
      <w:r w:rsidRPr="009D25DE">
        <w:rPr>
          <w:rFonts w:ascii="Calibri" w:eastAsia="Calibri" w:hAnsi="Calibri" w:cs="Calibri"/>
        </w:rPr>
        <w:t xml:space="preserve">studies of physical activity that often do not report the data required for conducting the linear dose-response meta-analysis. To examine potential impact from cancer treatment, subgroup analysis </w:t>
      </w:r>
      <w:r w:rsidR="00FC0CA9">
        <w:rPr>
          <w:rFonts w:ascii="Calibri" w:eastAsia="Calibri" w:hAnsi="Calibri" w:cs="Calibri"/>
        </w:rPr>
        <w:t>will be</w:t>
      </w:r>
      <w:r w:rsidRPr="009D25DE">
        <w:rPr>
          <w:rFonts w:ascii="Calibri" w:eastAsia="Calibri" w:hAnsi="Calibri" w:cs="Calibri"/>
        </w:rPr>
        <w:t xml:space="preserve"> conducted when </w:t>
      </w:r>
      <w:proofErr w:type="gramStart"/>
      <w:r w:rsidRPr="009D25DE">
        <w:rPr>
          <w:rFonts w:ascii="Calibri" w:eastAsia="Calibri" w:hAnsi="Calibri" w:cs="Calibri"/>
        </w:rPr>
        <w:t>possible</w:t>
      </w:r>
      <w:proofErr w:type="gramEnd"/>
      <w:r w:rsidRPr="009D25DE">
        <w:rPr>
          <w:rFonts w:ascii="Calibri" w:eastAsia="Calibri" w:hAnsi="Calibri" w:cs="Calibri"/>
        </w:rPr>
        <w:t xml:space="preserve"> to separate the studies by year 2000 when there was a shift in breast cancer chemotherapy regimens to include doxorubicin/cyclophosphamide, and year 2005 when anthracycline use began to decline with increase in </w:t>
      </w:r>
      <w:proofErr w:type="spellStart"/>
      <w:r w:rsidRPr="009D25DE">
        <w:rPr>
          <w:rFonts w:ascii="Calibri" w:eastAsia="Calibri" w:hAnsi="Calibri" w:cs="Calibri"/>
        </w:rPr>
        <w:t>taxane</w:t>
      </w:r>
      <w:proofErr w:type="spellEnd"/>
      <w:r w:rsidR="00F40D27">
        <w:rPr>
          <w:rFonts w:ascii="Calibri" w:eastAsia="Calibri" w:hAnsi="Calibri" w:cs="Calibri"/>
        </w:rPr>
        <w:t xml:space="preserve"> use and the use of </w:t>
      </w:r>
      <w:r w:rsidR="00F40D27" w:rsidRPr="00F40D27">
        <w:rPr>
          <w:rFonts w:ascii="Calibri" w:eastAsia="Calibri" w:hAnsi="Calibri" w:cs="Calibri"/>
        </w:rPr>
        <w:t>human epidermal growth factor receptor 2 (HER2) targeted therapy - trastuzumab</w:t>
      </w:r>
      <w:r w:rsidRPr="009D25DE">
        <w:rPr>
          <w:rFonts w:ascii="Calibri" w:eastAsia="Calibri" w:hAnsi="Calibri" w:cs="Calibri"/>
        </w:rPr>
        <w:t>. Studies with diagnosis/treatment period spanning over the year w</w:t>
      </w:r>
      <w:r w:rsidR="00FC0CA9">
        <w:rPr>
          <w:rFonts w:ascii="Calibri" w:eastAsia="Calibri" w:hAnsi="Calibri" w:cs="Calibri"/>
        </w:rPr>
        <w:t>ill be</w:t>
      </w:r>
      <w:r w:rsidRPr="009D25DE">
        <w:rPr>
          <w:rFonts w:ascii="Calibri" w:eastAsia="Calibri" w:hAnsi="Calibri" w:cs="Calibri"/>
        </w:rPr>
        <w:t xml:space="preserve"> excluded. Further, studies that reported results according to adjuvant treatment (received treatment or not) w</w:t>
      </w:r>
      <w:r w:rsidR="00FC0CA9">
        <w:rPr>
          <w:rFonts w:ascii="Calibri" w:eastAsia="Calibri" w:hAnsi="Calibri" w:cs="Calibri"/>
        </w:rPr>
        <w:t>ill</w:t>
      </w:r>
      <w:r w:rsidRPr="009D25DE">
        <w:rPr>
          <w:rFonts w:ascii="Calibri" w:eastAsia="Calibri" w:hAnsi="Calibri" w:cs="Calibri"/>
        </w:rPr>
        <w:t xml:space="preserve"> also </w:t>
      </w:r>
      <w:r w:rsidR="00FC0CA9">
        <w:rPr>
          <w:rFonts w:ascii="Calibri" w:eastAsia="Calibri" w:hAnsi="Calibri" w:cs="Calibri"/>
        </w:rPr>
        <w:t xml:space="preserve">be </w:t>
      </w:r>
      <w:r w:rsidRPr="009D25DE">
        <w:rPr>
          <w:rFonts w:ascii="Calibri" w:eastAsia="Calibri" w:hAnsi="Calibri" w:cs="Calibri"/>
        </w:rPr>
        <w:t xml:space="preserve">examined.  </w:t>
      </w:r>
    </w:p>
    <w:p w14:paraId="6BE0D660" w14:textId="77777777" w:rsidR="00E74473" w:rsidRPr="009D25DE" w:rsidRDefault="00CA6C61" w:rsidP="009D25DE">
      <w:pPr>
        <w:spacing w:after="120" w:line="276" w:lineRule="auto"/>
        <w:rPr>
          <w:rFonts w:ascii="Calibri" w:hAnsi="Calibri" w:cs="Calibri"/>
        </w:rPr>
      </w:pPr>
    </w:p>
    <w:sectPr w:rsidR="00E74473" w:rsidRPr="009D25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7E1B" w14:textId="77777777" w:rsidR="009D25DE" w:rsidRDefault="009D25DE" w:rsidP="009D25DE">
      <w:pPr>
        <w:spacing w:after="0" w:line="240" w:lineRule="auto"/>
      </w:pPr>
      <w:r>
        <w:separator/>
      </w:r>
    </w:p>
  </w:endnote>
  <w:endnote w:type="continuationSeparator" w:id="0">
    <w:p w14:paraId="3824C691" w14:textId="77777777" w:rsidR="009D25DE" w:rsidRDefault="009D25DE" w:rsidP="009D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23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F51352" w14:textId="6C0035C8" w:rsidR="009D25DE" w:rsidRDefault="009D2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467E7" w14:textId="77777777" w:rsidR="009D25DE" w:rsidRDefault="009D2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F738" w14:textId="77777777" w:rsidR="009D25DE" w:rsidRDefault="009D25DE" w:rsidP="009D25DE">
      <w:pPr>
        <w:spacing w:after="0" w:line="240" w:lineRule="auto"/>
      </w:pPr>
      <w:r>
        <w:separator/>
      </w:r>
    </w:p>
  </w:footnote>
  <w:footnote w:type="continuationSeparator" w:id="0">
    <w:p w14:paraId="0D42FA0A" w14:textId="77777777" w:rsidR="009D25DE" w:rsidRDefault="009D25DE" w:rsidP="009D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DE"/>
    <w:rsid w:val="00203191"/>
    <w:rsid w:val="003870D4"/>
    <w:rsid w:val="0047639E"/>
    <w:rsid w:val="005563AE"/>
    <w:rsid w:val="00561A3C"/>
    <w:rsid w:val="005B2795"/>
    <w:rsid w:val="006421E2"/>
    <w:rsid w:val="00806004"/>
    <w:rsid w:val="0083166B"/>
    <w:rsid w:val="009A7541"/>
    <w:rsid w:val="009D25DE"/>
    <w:rsid w:val="00A916B7"/>
    <w:rsid w:val="00AC1ABB"/>
    <w:rsid w:val="00BD4C96"/>
    <w:rsid w:val="00CA6C61"/>
    <w:rsid w:val="00F40D27"/>
    <w:rsid w:val="00F82BF5"/>
    <w:rsid w:val="00FC0CA9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B408"/>
  <w15:chartTrackingRefBased/>
  <w15:docId w15:val="{57DA6CCD-29B6-424E-BE61-85AC1D3A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DE"/>
  </w:style>
  <w:style w:type="paragraph" w:styleId="Heading1">
    <w:name w:val="heading 1"/>
    <w:basedOn w:val="Normal"/>
    <w:next w:val="Normal"/>
    <w:link w:val="Heading1Char"/>
    <w:uiPriority w:val="9"/>
    <w:qFormat/>
    <w:rsid w:val="009D25DE"/>
    <w:pPr>
      <w:keepNext/>
      <w:keepLines/>
      <w:spacing w:after="120" w:line="276" w:lineRule="auto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5DE"/>
    <w:rPr>
      <w:rFonts w:ascii="Calibri" w:eastAsiaTheme="majorEastAsia" w:hAnsi="Calibr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2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DE"/>
  </w:style>
  <w:style w:type="paragraph" w:styleId="Footer">
    <w:name w:val="footer"/>
    <w:basedOn w:val="Normal"/>
    <w:link w:val="FooterChar"/>
    <w:uiPriority w:val="99"/>
    <w:unhideWhenUsed/>
    <w:rsid w:val="009D2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520D-2EB2-4BF3-8E3F-DC03B8B1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Doris S M</dc:creator>
  <cp:keywords/>
  <dc:description/>
  <cp:lastModifiedBy>Chan, Doris S M</cp:lastModifiedBy>
  <cp:revision>13</cp:revision>
  <dcterms:created xsi:type="dcterms:W3CDTF">2022-07-29T10:03:00Z</dcterms:created>
  <dcterms:modified xsi:type="dcterms:W3CDTF">2022-07-29T11:43:00Z</dcterms:modified>
</cp:coreProperties>
</file>