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C644" w14:textId="07F22CCC" w:rsidR="00B1701F" w:rsidRPr="00DC157D" w:rsidRDefault="00B1701F" w:rsidP="00685D0F">
      <w:pPr>
        <w:shd w:val="clear" w:color="auto" w:fill="FFFFFF"/>
        <w:spacing w:after="0" w:line="240" w:lineRule="auto"/>
        <w:jc w:val="both"/>
        <w:outlineLvl w:val="3"/>
        <w:rPr>
          <w:rFonts w:eastAsia="Times New Roman" w:cstheme="minorHAnsi"/>
          <w:b/>
          <w:bCs/>
          <w:color w:val="000000" w:themeColor="text1"/>
          <w:lang w:eastAsia="en-GB"/>
        </w:rPr>
      </w:pPr>
      <w:r w:rsidRPr="00DC157D">
        <w:rPr>
          <w:rFonts w:eastAsia="Times New Roman" w:cstheme="minorHAnsi"/>
          <w:b/>
          <w:bCs/>
          <w:color w:val="000000" w:themeColor="text1"/>
          <w:lang w:eastAsia="en-GB"/>
        </w:rPr>
        <w:t>White Paper</w:t>
      </w:r>
    </w:p>
    <w:p w14:paraId="14328A54" w14:textId="2AE11897" w:rsidR="00B1701F" w:rsidRPr="00DC157D" w:rsidRDefault="00B1701F" w:rsidP="00685D0F">
      <w:pPr>
        <w:shd w:val="clear" w:color="auto" w:fill="FFFFFF"/>
        <w:spacing w:after="0" w:line="240" w:lineRule="auto"/>
        <w:jc w:val="both"/>
        <w:outlineLvl w:val="3"/>
        <w:rPr>
          <w:rFonts w:eastAsia="Times New Roman" w:cstheme="minorHAnsi"/>
          <w:b/>
          <w:bCs/>
          <w:color w:val="000000" w:themeColor="text1"/>
          <w:lang w:eastAsia="en-GB"/>
        </w:rPr>
      </w:pPr>
    </w:p>
    <w:p w14:paraId="3EF6B9A6" w14:textId="5286D06A" w:rsidR="00BF5ABD" w:rsidRPr="00DC157D" w:rsidRDefault="00BF5ABD" w:rsidP="00685D0F">
      <w:pPr>
        <w:shd w:val="clear" w:color="auto" w:fill="FFFFFF"/>
        <w:spacing w:after="0" w:line="240" w:lineRule="auto"/>
        <w:jc w:val="both"/>
        <w:outlineLvl w:val="3"/>
        <w:rPr>
          <w:rFonts w:eastAsia="Times New Roman" w:cstheme="minorHAnsi"/>
          <w:b/>
          <w:bCs/>
          <w:color w:val="000000" w:themeColor="text1"/>
          <w:lang w:eastAsia="en-GB"/>
        </w:rPr>
      </w:pPr>
      <w:r w:rsidRPr="00DC157D">
        <w:rPr>
          <w:rFonts w:eastAsia="Times New Roman" w:cstheme="minorHAnsi"/>
          <w:b/>
          <w:bCs/>
          <w:color w:val="000000" w:themeColor="text1"/>
          <w:lang w:eastAsia="en-GB"/>
        </w:rPr>
        <w:t>AGE</w:t>
      </w:r>
      <w:r w:rsidRPr="00DC157D">
        <w:rPr>
          <w:rFonts w:eastAsia="Times New Roman" w:cstheme="minorHAnsi"/>
          <w:color w:val="000000" w:themeColor="text1"/>
          <w:lang w:eastAsia="en-GB"/>
        </w:rPr>
        <w:t xml:space="preserve">ing and </w:t>
      </w:r>
      <w:r w:rsidRPr="00DC157D">
        <w:rPr>
          <w:rFonts w:eastAsia="Times New Roman" w:cstheme="minorHAnsi"/>
          <w:b/>
          <w:bCs/>
          <w:color w:val="000000" w:themeColor="text1"/>
          <w:lang w:eastAsia="en-GB"/>
        </w:rPr>
        <w:t>N</w:t>
      </w:r>
      <w:r w:rsidRPr="00DC157D">
        <w:rPr>
          <w:rFonts w:eastAsia="Times New Roman" w:cstheme="minorHAnsi"/>
          <w:color w:val="000000" w:themeColor="text1"/>
          <w:lang w:eastAsia="en-GB"/>
        </w:rPr>
        <w:t>u</w:t>
      </w:r>
      <w:r w:rsidRPr="00DC157D">
        <w:rPr>
          <w:rFonts w:eastAsia="Times New Roman" w:cstheme="minorHAnsi"/>
          <w:b/>
          <w:bCs/>
          <w:color w:val="000000" w:themeColor="text1"/>
          <w:lang w:eastAsia="en-GB"/>
        </w:rPr>
        <w:t>T</w:t>
      </w:r>
      <w:r w:rsidRPr="00DC157D">
        <w:rPr>
          <w:rFonts w:eastAsia="Times New Roman" w:cstheme="minorHAnsi"/>
          <w:color w:val="000000" w:themeColor="text1"/>
          <w:lang w:eastAsia="en-GB"/>
        </w:rPr>
        <w:t xml:space="preserve">rient </w:t>
      </w:r>
      <w:r w:rsidRPr="00DC157D">
        <w:rPr>
          <w:rFonts w:eastAsia="Times New Roman" w:cstheme="minorHAnsi"/>
          <w:b/>
          <w:bCs/>
          <w:color w:val="000000" w:themeColor="text1"/>
          <w:lang w:eastAsia="en-GB"/>
        </w:rPr>
        <w:t>S</w:t>
      </w:r>
      <w:r w:rsidRPr="00DC157D">
        <w:rPr>
          <w:rFonts w:eastAsia="Times New Roman" w:cstheme="minorHAnsi"/>
          <w:color w:val="000000" w:themeColor="text1"/>
          <w:lang w:eastAsia="en-GB"/>
        </w:rPr>
        <w:t xml:space="preserve">ensing Network </w:t>
      </w:r>
      <w:r w:rsidRPr="00DC157D">
        <w:rPr>
          <w:rFonts w:cstheme="minorHAnsi"/>
        </w:rPr>
        <w:t xml:space="preserve">(AGENTS) </w:t>
      </w:r>
    </w:p>
    <w:p w14:paraId="18F6666D" w14:textId="77777777" w:rsidR="00685D0F" w:rsidRPr="00DC157D" w:rsidRDefault="00685D0F" w:rsidP="00685D0F">
      <w:pPr>
        <w:shd w:val="clear" w:color="auto" w:fill="FFFFFF"/>
        <w:spacing w:after="0" w:line="240" w:lineRule="auto"/>
        <w:jc w:val="both"/>
        <w:outlineLvl w:val="3"/>
        <w:rPr>
          <w:rFonts w:eastAsia="Times New Roman" w:cstheme="minorHAnsi"/>
          <w:b/>
          <w:bCs/>
          <w:color w:val="000000" w:themeColor="text1"/>
          <w:lang w:eastAsia="en-GB"/>
        </w:rPr>
      </w:pPr>
    </w:p>
    <w:p w14:paraId="753F2331" w14:textId="3C3CC4F9" w:rsidR="00D700BD" w:rsidRPr="00DC157D" w:rsidRDefault="00D700BD" w:rsidP="00685D0F">
      <w:pPr>
        <w:jc w:val="both"/>
        <w:rPr>
          <w:rFonts w:eastAsia="Times New Roman" w:cstheme="minorHAnsi"/>
          <w:color w:val="000000" w:themeColor="text1"/>
          <w:lang w:eastAsia="en-GB"/>
        </w:rPr>
      </w:pPr>
      <w:r w:rsidRPr="00DC157D">
        <w:rPr>
          <w:rFonts w:eastAsia="Times New Roman" w:cstheme="minorHAnsi"/>
          <w:color w:val="000000" w:themeColor="text1"/>
          <w:lang w:eastAsia="en-GB"/>
        </w:rPr>
        <w:t>Ageing is an inevitable and progressive process characterised by</w:t>
      </w:r>
      <w:r w:rsidR="00685D0F" w:rsidRPr="00DC157D">
        <w:rPr>
          <w:rFonts w:eastAsia="Times New Roman" w:cstheme="minorHAnsi"/>
          <w:color w:val="000000" w:themeColor="text1"/>
          <w:lang w:eastAsia="en-GB"/>
        </w:rPr>
        <w:t xml:space="preserve"> the</w:t>
      </w:r>
      <w:r w:rsidRPr="00DC157D">
        <w:rPr>
          <w:rFonts w:eastAsia="Times New Roman" w:cstheme="minorHAnsi"/>
          <w:color w:val="000000" w:themeColor="text1"/>
          <w:lang w:eastAsia="en-GB"/>
        </w:rPr>
        <w:t xml:space="preserve"> accumulation of functional deficits across multiple organ systems</w:t>
      </w:r>
      <w:r w:rsidR="00685D0F" w:rsidRPr="00DC157D">
        <w:rPr>
          <w:rFonts w:eastAsia="Times New Roman" w:cstheme="minorHAnsi"/>
          <w:color w:val="000000" w:themeColor="text1"/>
          <w:lang w:eastAsia="en-GB"/>
        </w:rPr>
        <w:t xml:space="preserve"> </w:t>
      </w:r>
      <w:r w:rsidRPr="00DC157D">
        <w:rPr>
          <w:rFonts w:eastAsia="Times New Roman" w:cstheme="minorHAnsi"/>
          <w:color w:val="000000" w:themeColor="text1"/>
          <w:lang w:eastAsia="en-GB"/>
        </w:rPr>
        <w:fldChar w:fldCharType="begin" w:fldLock="1"/>
      </w:r>
      <w:r w:rsidR="00F1790C" w:rsidRPr="00DC157D">
        <w:rPr>
          <w:rFonts w:eastAsia="Times New Roman" w:cstheme="minorHAnsi"/>
          <w:color w:val="000000" w:themeColor="text1"/>
          <w:lang w:eastAsia="en-GB"/>
        </w:rPr>
        <w:instrText>ADDIN CSL_CITATION {"citationItems":[{"id":"ITEM-1","itemData":{"DOI":"10.1093/GERONA/GLT162","ISSN":"1079-5006","abstract":"For a surprisingly large segment of the older population, chronological age is not a relevant marker for understanding, measuring, or experiencing healthy aging. Using the 2003 Medical Expenditure Panel Survey and the 2004 Health and Retirement Study to examine the proportion of Americans exhibiting five markers of health and the variation in health-related quality of life across each of eight age groups, we find that a significant proportion of older Americans is healthy within every age group beginning at age 51, including among those aged 85+. For example, 48% of those aged 51-54 and 28% of those aged 85+ have excellent or very good self-reported health status; similarly, 89% of those aged 51-54 and 56% of those aged 85+ report no health-based limitations in work or housework. Also, health-related quality of life ranges widely within every age group, yet there is only a comparatively small variation in median quality of life across age groups, suggesting that older Americans today may be experiencing substantially different age-health trajectories than their predecessors. Patterns are similar for medical expenditures. Several policy implications are explored. © 2013 The Author.","author":[{"dropping-particle":"","family":"Lowsky","given":"David J.","non-dropping-particle":"","parse-names":false,"suffix":""},{"dropping-particle":"","family":"Olshansky","given":"S. Jay","non-dropping-particle":"","parse-names":false,"suffix":""},{"dropping-particle":"","family":"Bhattacharya","given":"Jay","non-dropping-particle":"","parse-names":false,"suffix":""},{"dropping-particle":"","family":"Goldman","given":"Dana P.","non-dropping-particle":"","parse-names":false,"suffix":""}],"container-title":"The Journals of Gerontology: Series A","id":"ITEM-1","issue":"6","issued":{"date-parts":[["2014","6","1"]]},"page":"640-649","publisher":"Oxford Academic","title":"Heterogeneity in Healthy Aging","type":"article-journal","volume":"69"},"uris":["http://www.mendeley.com/documents/?uuid=8068d63a-d79c-3dc1-a839-af2039402da2"]},{"id":"ITEM-2","itemData":{"DOI":"10.1016/J.CELL.2013.05.039","PMID":"23746838","abstract":"Aging is characterized by a progressive loss of physiological integrity, leading to impaired function and increased vulnerability to death. This deterioration is the primary risk factor for major human pathologies, including cancer, diabetes, cardiovascular disorders, and neurodegenerative diseases. Aging research has experienced an unprecedented advance over recent years, particularly with the discovery that the rate of aging is controlled, at least to some extent, by genetic pathways and biochemical processes conserved in evolution. This Review enumerates nine tentative hallmarks that represent common denominators of aging in different organisms, with special emphasis on mammalian aging. These hallmarks are: genomic instability, telomere attrition, epigenetic alterations, loss of proteostasis, deregulated nutrient sensing, mitochondrial dysfunction, cellular senescence, stem cell exhaustion, and altered intercellular communication. A major challenge is to dissect the interconnectedness between the candidate hallmarks and their relative contributions to aging, with the final goal of identifying pharmaceutical targets to improve human health during aging, with minimal side effects. © 2013 Elsevier Inc.","author":[{"dropping-particle":"","family":"López-Otín","given":"Carlos","non-dropping-particle":"","parse-names":false,"suffix":""},{"dropping-particle":"","family":"Blasco","given":"Maria A.","non-dropping-particle":"","parse-names":false,"suffix":""},{"dropping-particle":"","family":"Partridge","given":"Linda","non-dropping-particle":"","parse-names":false,"suffix":""},{"dropping-particle":"","family":"Serrano","given":"Manuel","non-dropping-particle":"","parse-names":false,"suffix":""},{"dropping-particle":"","family":"Kroemer","given":"Guido","non-dropping-particle":"","parse-names":false,"suffix":""}],"container-title":"Cell","id":"ITEM-2","issue":"6","issued":{"date-parts":[["2013","6","6"]]},"page":"1194","publisher":"Europe PMC Funders","title":"The Hallmarks of Aging","type":"article-journal","volume":"153"},"uris":["http://www.mendeley.com/documents/?uuid=1ac6764c-3f3d-3849-abc9-20c1993e425c"]}],"mendeley":{"formattedCitation":"(1,2)","plainTextFormattedCitation":"(1,2)","previouslyFormattedCitation":"&lt;sup&gt;1,2&lt;/sup&gt;"},"properties":{"noteIndex":0},"schema":"https://github.com/citation-style-language/schema/raw/master/csl-citation.json"}</w:instrText>
      </w:r>
      <w:r w:rsidRPr="00DC157D">
        <w:rPr>
          <w:rFonts w:eastAsia="Times New Roman" w:cstheme="minorHAnsi"/>
          <w:color w:val="000000" w:themeColor="text1"/>
          <w:lang w:eastAsia="en-GB"/>
        </w:rPr>
        <w:fldChar w:fldCharType="separate"/>
      </w:r>
      <w:r w:rsidR="00F1790C" w:rsidRPr="00DC157D">
        <w:rPr>
          <w:rFonts w:eastAsia="Times New Roman" w:cstheme="minorHAnsi"/>
          <w:noProof/>
          <w:color w:val="000000" w:themeColor="text1"/>
          <w:lang w:eastAsia="en-GB"/>
        </w:rPr>
        <w:t>(1,2)</w:t>
      </w:r>
      <w:r w:rsidRPr="00DC157D">
        <w:rPr>
          <w:rFonts w:eastAsia="Times New Roman" w:cstheme="minorHAnsi"/>
          <w:color w:val="000000" w:themeColor="text1"/>
          <w:lang w:eastAsia="en-GB"/>
        </w:rPr>
        <w:fldChar w:fldCharType="end"/>
      </w:r>
      <w:r w:rsidRPr="00DC157D">
        <w:rPr>
          <w:rFonts w:eastAsia="Times New Roman" w:cstheme="minorHAnsi"/>
          <w:color w:val="000000" w:themeColor="text1"/>
          <w:lang w:eastAsia="en-GB"/>
        </w:rPr>
        <w:t>. Studies in model organisms have shown that dietary (energy) restriction is one of the most effective interventions for extending lifespan and for maintaining better health during ageing</w:t>
      </w:r>
      <w:r w:rsidR="00685D0F" w:rsidRPr="00DC157D">
        <w:rPr>
          <w:rFonts w:eastAsia="Times New Roman" w:cstheme="minorHAnsi"/>
          <w:color w:val="000000" w:themeColor="text1"/>
          <w:lang w:eastAsia="en-GB"/>
        </w:rPr>
        <w:t xml:space="preserve"> </w:t>
      </w:r>
      <w:r w:rsidRPr="00DC157D">
        <w:rPr>
          <w:rFonts w:eastAsia="Times New Roman" w:cstheme="minorHAnsi"/>
          <w:color w:val="000000" w:themeColor="text1"/>
          <w:lang w:eastAsia="en-GB"/>
        </w:rPr>
        <w:fldChar w:fldCharType="begin" w:fldLock="1"/>
      </w:r>
      <w:r w:rsidR="00F1790C" w:rsidRPr="00DC157D">
        <w:rPr>
          <w:rFonts w:eastAsia="Times New Roman" w:cstheme="minorHAnsi"/>
          <w:color w:val="000000" w:themeColor="text1"/>
          <w:lang w:eastAsia="en-GB"/>
        </w:rPr>
        <w:instrText>ADDIN CSL_CITATION {"citationItems":[{"id":"ITEM-1","itemData":{"DOI":"10.1001/jama.295.13.1577","ISSN":"1538-3598","PMID":"16595760","author":[{"dropping-particle":"","family":"Fontana","given":"Luigi","non-dropping-particle":"","parse-names":false,"suffix":""}],"container-title":"JAMA : the journal of the American Medical Association","id":"ITEM-1","issue":"13","issued":{"date-parts":[["2006","4","5"]]},"page":"1577-8","title":"Excessive adiposity, calorie restriction, and aging.","type":"article-journal","volume":"295"},"uris":["http://www.mendeley.com/documents/?uuid=d41a5d5d-adf2-4b2d-87a8-944fb299eaa3"]}],"mendeley":{"formattedCitation":"(3)","plainTextFormattedCitation":"(3)","previouslyFormattedCitation":"&lt;sup&gt;3&lt;/sup&gt;"},"properties":{"noteIndex":0},"schema":"https://github.com/citation-style-language/schema/raw/master/csl-citation.json"}</w:instrText>
      </w:r>
      <w:r w:rsidRPr="00DC157D">
        <w:rPr>
          <w:rFonts w:eastAsia="Times New Roman" w:cstheme="minorHAnsi"/>
          <w:color w:val="000000" w:themeColor="text1"/>
          <w:lang w:eastAsia="en-GB"/>
        </w:rPr>
        <w:fldChar w:fldCharType="separate"/>
      </w:r>
      <w:r w:rsidR="00F1790C" w:rsidRPr="00DC157D">
        <w:rPr>
          <w:rFonts w:eastAsia="Times New Roman" w:cstheme="minorHAnsi"/>
          <w:noProof/>
          <w:color w:val="000000" w:themeColor="text1"/>
          <w:lang w:eastAsia="en-GB"/>
        </w:rPr>
        <w:t>(3)</w:t>
      </w:r>
      <w:r w:rsidRPr="00DC157D">
        <w:rPr>
          <w:rFonts w:eastAsia="Times New Roman" w:cstheme="minorHAnsi"/>
          <w:color w:val="000000" w:themeColor="text1"/>
          <w:lang w:eastAsia="en-GB"/>
        </w:rPr>
        <w:fldChar w:fldCharType="end"/>
      </w:r>
      <w:r w:rsidRPr="00DC157D">
        <w:rPr>
          <w:rFonts w:eastAsia="Times New Roman" w:cstheme="minorHAnsi"/>
          <w:color w:val="000000" w:themeColor="text1"/>
          <w:lang w:eastAsia="en-GB"/>
        </w:rPr>
        <w:t>. In addition, several genes and pathways have been identified that are associated with greater lifespan</w:t>
      </w:r>
      <w:r w:rsidR="00685D0F" w:rsidRPr="00DC157D">
        <w:rPr>
          <w:rFonts w:eastAsia="Times New Roman" w:cstheme="minorHAnsi"/>
          <w:color w:val="000000" w:themeColor="text1"/>
          <w:lang w:eastAsia="en-GB"/>
        </w:rPr>
        <w:t xml:space="preserve"> </w:t>
      </w:r>
      <w:r w:rsidRPr="00DC157D">
        <w:rPr>
          <w:rFonts w:eastAsia="Times New Roman" w:cstheme="minorHAnsi"/>
          <w:color w:val="000000" w:themeColor="text1"/>
          <w:lang w:eastAsia="en-GB"/>
        </w:rPr>
        <w:fldChar w:fldCharType="begin" w:fldLock="1"/>
      </w:r>
      <w:r w:rsidR="00F1790C" w:rsidRPr="00DC157D">
        <w:rPr>
          <w:rFonts w:eastAsia="Times New Roman" w:cstheme="minorHAnsi"/>
          <w:color w:val="000000" w:themeColor="text1"/>
          <w:lang w:eastAsia="en-GB"/>
        </w:rPr>
        <w:instrText>ADDIN CSL_CITATION {"citationItems":[{"id":"ITEM-1","itemData":{"PMID":"22396873","abstract":"The process of aging refers to the decay of an organism's structure and function, in which molecular and cellular modifications can have various effects at the individual level over the course of a lifetime. The accumulation of molecular errors that compromise adult stem cell functions occurs because of genetic and epigenetic interactions and depends on hereditary, environmental, and stochastic factors. Here we review the known genetic factors involved in aging.","author":[{"dropping-particle":"","family":"Rodríguez-Rodero","given":"Sandra","non-dropping-particle":"","parse-names":false,"suffix":""},{"dropping-particle":"","family":"Fernández-Morera","given":"Juan Luis","non-dropping-particle":"","parse-names":false,"suffix":""},{"dropping-particle":"","family":"Menéndez-Torre","given":"Edelmiro","non-dropping-particle":"","parse-names":false,"suffix":""},{"dropping-particle":"","family":"Calvanese","given":"Vincenzo","non-dropping-particle":"","parse-names":false,"suffix":""},{"dropping-particle":"","family":"Fernández","given":"Agustín F.","non-dropping-particle":"","parse-names":false,"suffix":""},{"dropping-particle":"","family":"Fraga","given":"Mario F.","non-dropping-particle":"","parse-names":false,"suffix":""}],"container-title":"Aging and Disease","id":"ITEM-1","issue":"3","issued":{"date-parts":[["2011"]]},"page":"186","publisher":"JKL International LLC","title":"Aging Genetics and Aging","type":"article-journal","volume":"2"},"uris":["http://www.mendeley.com/documents/?uuid=1a9de231-b6c0-3c45-836f-d8f951d9795d"]}],"mendeley":{"formattedCitation":"(4)","plainTextFormattedCitation":"(4)","previouslyFormattedCitation":"&lt;sup&gt;4&lt;/sup&gt;"},"properties":{"noteIndex":0},"schema":"https://github.com/citation-style-language/schema/raw/master/csl-citation.json"}</w:instrText>
      </w:r>
      <w:r w:rsidRPr="00DC157D">
        <w:rPr>
          <w:rFonts w:eastAsia="Times New Roman" w:cstheme="minorHAnsi"/>
          <w:color w:val="000000" w:themeColor="text1"/>
          <w:lang w:eastAsia="en-GB"/>
        </w:rPr>
        <w:fldChar w:fldCharType="separate"/>
      </w:r>
      <w:r w:rsidR="00F1790C" w:rsidRPr="00DC157D">
        <w:rPr>
          <w:rFonts w:eastAsia="Times New Roman" w:cstheme="minorHAnsi"/>
          <w:noProof/>
          <w:color w:val="000000" w:themeColor="text1"/>
          <w:lang w:eastAsia="en-GB"/>
        </w:rPr>
        <w:t>(4)</w:t>
      </w:r>
      <w:r w:rsidRPr="00DC157D">
        <w:rPr>
          <w:rFonts w:eastAsia="Times New Roman" w:cstheme="minorHAnsi"/>
          <w:color w:val="000000" w:themeColor="text1"/>
          <w:lang w:eastAsia="en-GB"/>
        </w:rPr>
        <w:fldChar w:fldCharType="end"/>
      </w:r>
      <w:r w:rsidRPr="00DC157D">
        <w:rPr>
          <w:rFonts w:eastAsia="Times New Roman" w:cstheme="minorHAnsi"/>
          <w:color w:val="000000" w:themeColor="text1"/>
          <w:lang w:eastAsia="en-GB"/>
        </w:rPr>
        <w:t xml:space="preserve">. </w:t>
      </w:r>
      <w:r w:rsidR="000625D2" w:rsidRPr="00DC157D">
        <w:rPr>
          <w:rFonts w:eastAsia="Times New Roman" w:cstheme="minorHAnsi"/>
          <w:color w:val="000000" w:themeColor="text1"/>
          <w:lang w:eastAsia="en-GB"/>
        </w:rPr>
        <w:t>While</w:t>
      </w:r>
      <w:r w:rsidRPr="00DC157D">
        <w:rPr>
          <w:rFonts w:eastAsia="Times New Roman" w:cstheme="minorHAnsi"/>
          <w:color w:val="000000" w:themeColor="text1"/>
          <w:lang w:eastAsia="en-GB"/>
        </w:rPr>
        <w:t xml:space="preserve"> there is compelling evidence from animal models, in humans the situation is more complex and much less understood</w:t>
      </w:r>
      <w:r w:rsidR="0026446F" w:rsidRPr="00DC157D">
        <w:rPr>
          <w:rFonts w:eastAsia="Times New Roman" w:cstheme="minorHAnsi"/>
          <w:color w:val="000000" w:themeColor="text1"/>
          <w:lang w:eastAsia="en-GB"/>
        </w:rPr>
        <w:t xml:space="preserve">. </w:t>
      </w:r>
      <w:r w:rsidR="0013697E" w:rsidRPr="00DC157D">
        <w:rPr>
          <w:rFonts w:eastAsia="Times New Roman" w:cstheme="minorHAnsi"/>
          <w:color w:val="000000" w:themeColor="text1"/>
          <w:lang w:eastAsia="en-GB"/>
        </w:rPr>
        <w:t>Although genotype is an important influence on human ageing, interactions with environmental factors including social structure, culture and lifestyle are pivotal in determining the ageing trajectory</w:t>
      </w:r>
      <w:r w:rsidR="00685D0F" w:rsidRPr="00DC157D">
        <w:rPr>
          <w:rFonts w:eastAsia="Times New Roman" w:cstheme="minorHAnsi"/>
          <w:color w:val="000000" w:themeColor="text1"/>
          <w:lang w:eastAsia="en-GB"/>
        </w:rPr>
        <w:t xml:space="preserve"> </w:t>
      </w:r>
      <w:r w:rsidRPr="00DC157D">
        <w:rPr>
          <w:rFonts w:eastAsia="Times New Roman" w:cstheme="minorHAnsi"/>
          <w:color w:val="000000" w:themeColor="text1"/>
          <w:lang w:eastAsia="en-GB"/>
        </w:rPr>
        <w:fldChar w:fldCharType="begin" w:fldLock="1"/>
      </w:r>
      <w:r w:rsidR="00F1790C" w:rsidRPr="00DC157D">
        <w:rPr>
          <w:rFonts w:eastAsia="Times New Roman" w:cstheme="minorHAnsi"/>
          <w:color w:val="000000" w:themeColor="text1"/>
          <w:lang w:eastAsia="en-GB"/>
        </w:rPr>
        <w:instrText>ADDIN CSL_CITATION {"citationItems":[{"id":"ITEM-1","itemData":{"DOI":"10.1093/AJCN/83.2.404S","ISSN":"0002-9165","abstract":"In the coming years, human aging will be one of the biggest challenges faced by industrialized countries. The average life expectancy is continuously increasing and we may be faced with spending more years in poor health. Because aging is a relatively modern phenomenon, we lack knowledge for a proper understanding of this process. Current biological thinking emphasizes that organisms are encoded for early survival and reproduction, humans not excluded. Aging is not programmed nor is it inevitable. Life span is the result of the interactions between genes and the environment in which we live. In the original habitat, genes encoding early survival and reproduction were optimized in an everlasting attempt to increase fitness and prevent the species from extinction. Aging is best explained as a cost of optimizing fitness because investments in body maintenance and repair cannot be maximized. The environment also determines how a gene influencing life span is expressed over a lifetime. When the conditions in which we live significantly improve, mortality decreases, evolutionary pressures for early survival and reproduction relax, and further resources can be invested in body maintenance and repair, which increases both average life expectancy and maximum life span. Increasing our understanding of the aging process and applying available interventions will help to protect and preserve healthy aging. © 2006 American Society for Nutrition.","author":[{"dropping-particle":"","family":"Westendorp","given":"Rudi GJ","non-dropping-particle":"","parse-names":false,"suffix":""}],"container-title":"The American Journal of Clinical Nutrition","id":"ITEM-1","issue":"2","issued":{"date-parts":[["2006","2","1"]]},"page":"404S-409S","publisher":"Oxford Academic","title":"What is healthy aging in the 21st century?","type":"article-journal","volume":"83"},"uris":["http://www.mendeley.com/documents/?uuid=08384cf4-fe0e-33b0-9fa0-cfdd9c9b0283"]}],"mendeley":{"formattedCitation":"(5)","plainTextFormattedCitation":"(5)","previouslyFormattedCitation":"&lt;sup&gt;5&lt;/sup&gt;"},"properties":{"noteIndex":0},"schema":"https://github.com/citation-style-language/schema/raw/master/csl-citation.json"}</w:instrText>
      </w:r>
      <w:r w:rsidRPr="00DC157D">
        <w:rPr>
          <w:rFonts w:eastAsia="Times New Roman" w:cstheme="minorHAnsi"/>
          <w:color w:val="000000" w:themeColor="text1"/>
          <w:lang w:eastAsia="en-GB"/>
        </w:rPr>
        <w:fldChar w:fldCharType="separate"/>
      </w:r>
      <w:r w:rsidR="00F1790C" w:rsidRPr="00DC157D">
        <w:rPr>
          <w:rFonts w:eastAsia="Times New Roman" w:cstheme="minorHAnsi"/>
          <w:noProof/>
          <w:color w:val="000000" w:themeColor="text1"/>
          <w:lang w:eastAsia="en-GB"/>
        </w:rPr>
        <w:t>(5)</w:t>
      </w:r>
      <w:r w:rsidRPr="00DC157D">
        <w:rPr>
          <w:rFonts w:eastAsia="Times New Roman" w:cstheme="minorHAnsi"/>
          <w:color w:val="000000" w:themeColor="text1"/>
          <w:lang w:eastAsia="en-GB"/>
        </w:rPr>
        <w:fldChar w:fldCharType="end"/>
      </w:r>
      <w:r w:rsidRPr="00DC157D">
        <w:rPr>
          <w:rFonts w:eastAsia="Times New Roman" w:cstheme="minorHAnsi"/>
          <w:color w:val="000000" w:themeColor="text1"/>
          <w:lang w:eastAsia="en-GB"/>
        </w:rPr>
        <w:t xml:space="preserve">.  </w:t>
      </w:r>
    </w:p>
    <w:p w14:paraId="228FD122" w14:textId="32A405A4" w:rsidR="00B222CC" w:rsidRPr="00DC157D" w:rsidRDefault="00BF5ABD" w:rsidP="00685D0F">
      <w:pPr>
        <w:shd w:val="clear" w:color="auto" w:fill="FFFFFF"/>
        <w:spacing w:after="0" w:line="240" w:lineRule="auto"/>
        <w:jc w:val="both"/>
        <w:outlineLvl w:val="3"/>
        <w:rPr>
          <w:rFonts w:cstheme="minorHAnsi"/>
        </w:rPr>
      </w:pPr>
      <w:r w:rsidRPr="00DC157D">
        <w:rPr>
          <w:rFonts w:cstheme="minorHAnsi"/>
        </w:rPr>
        <w:t xml:space="preserve">The </w:t>
      </w:r>
      <w:r w:rsidR="00A55FC2" w:rsidRPr="00DC157D">
        <w:rPr>
          <w:rFonts w:eastAsia="Times New Roman" w:cstheme="minorHAnsi"/>
          <w:b/>
          <w:bCs/>
          <w:color w:val="000000" w:themeColor="text1"/>
          <w:lang w:eastAsia="en-GB"/>
        </w:rPr>
        <w:t>AGE</w:t>
      </w:r>
      <w:r w:rsidR="00A55FC2" w:rsidRPr="00DC157D">
        <w:rPr>
          <w:rFonts w:eastAsia="Times New Roman" w:cstheme="minorHAnsi"/>
          <w:color w:val="000000" w:themeColor="text1"/>
          <w:lang w:eastAsia="en-GB"/>
        </w:rPr>
        <w:t xml:space="preserve">ing and </w:t>
      </w:r>
      <w:r w:rsidR="00A55FC2" w:rsidRPr="00DC157D">
        <w:rPr>
          <w:rFonts w:eastAsia="Times New Roman" w:cstheme="minorHAnsi"/>
          <w:b/>
          <w:bCs/>
          <w:color w:val="000000" w:themeColor="text1"/>
          <w:lang w:eastAsia="en-GB"/>
        </w:rPr>
        <w:t>N</w:t>
      </w:r>
      <w:r w:rsidR="00A55FC2" w:rsidRPr="00DC157D">
        <w:rPr>
          <w:rFonts w:eastAsia="Times New Roman" w:cstheme="minorHAnsi"/>
          <w:color w:val="000000" w:themeColor="text1"/>
          <w:lang w:eastAsia="en-GB"/>
        </w:rPr>
        <w:t>u</w:t>
      </w:r>
      <w:r w:rsidR="00A55FC2" w:rsidRPr="00DC157D">
        <w:rPr>
          <w:rFonts w:eastAsia="Times New Roman" w:cstheme="minorHAnsi"/>
          <w:b/>
          <w:bCs/>
          <w:color w:val="000000" w:themeColor="text1"/>
          <w:lang w:eastAsia="en-GB"/>
        </w:rPr>
        <w:t>T</w:t>
      </w:r>
      <w:r w:rsidR="00A55FC2" w:rsidRPr="00DC157D">
        <w:rPr>
          <w:rFonts w:eastAsia="Times New Roman" w:cstheme="minorHAnsi"/>
          <w:color w:val="000000" w:themeColor="text1"/>
          <w:lang w:eastAsia="en-GB"/>
        </w:rPr>
        <w:t xml:space="preserve">rient </w:t>
      </w:r>
      <w:r w:rsidR="00A55FC2" w:rsidRPr="00DC157D">
        <w:rPr>
          <w:rFonts w:eastAsia="Times New Roman" w:cstheme="minorHAnsi"/>
          <w:b/>
          <w:bCs/>
          <w:color w:val="000000" w:themeColor="text1"/>
          <w:lang w:eastAsia="en-GB"/>
        </w:rPr>
        <w:t>S</w:t>
      </w:r>
      <w:r w:rsidR="00A55FC2" w:rsidRPr="00DC157D">
        <w:rPr>
          <w:rFonts w:eastAsia="Times New Roman" w:cstheme="minorHAnsi"/>
          <w:color w:val="000000" w:themeColor="text1"/>
          <w:lang w:eastAsia="en-GB"/>
        </w:rPr>
        <w:t xml:space="preserve">ensing </w:t>
      </w:r>
      <w:r w:rsidR="00A55FC2" w:rsidRPr="00DC157D">
        <w:rPr>
          <w:rFonts w:cstheme="minorHAnsi"/>
        </w:rPr>
        <w:t xml:space="preserve">(AGENTS) </w:t>
      </w:r>
      <w:r w:rsidRPr="00DC157D">
        <w:rPr>
          <w:rFonts w:cstheme="minorHAnsi"/>
        </w:rPr>
        <w:t>network is comprised of a multi-disciplinary consortium of leading researchers and early research career scien</w:t>
      </w:r>
      <w:r w:rsidR="00685D0F" w:rsidRPr="00DC157D">
        <w:rPr>
          <w:rFonts w:cstheme="minorHAnsi"/>
        </w:rPr>
        <w:t>tists, with expertise across ag</w:t>
      </w:r>
      <w:r w:rsidR="0026446F" w:rsidRPr="00DC157D">
        <w:rPr>
          <w:rFonts w:cstheme="minorHAnsi"/>
        </w:rPr>
        <w:t>e</w:t>
      </w:r>
      <w:r w:rsidR="00685D0F" w:rsidRPr="00DC157D">
        <w:rPr>
          <w:rFonts w:cstheme="minorHAnsi"/>
        </w:rPr>
        <w:t>i</w:t>
      </w:r>
      <w:r w:rsidRPr="00DC157D">
        <w:rPr>
          <w:rFonts w:cstheme="minorHAnsi"/>
        </w:rPr>
        <w:t xml:space="preserve">ng, </w:t>
      </w:r>
      <w:r w:rsidR="00036B3F" w:rsidRPr="00DC157D">
        <w:rPr>
          <w:rFonts w:cstheme="minorHAnsi"/>
        </w:rPr>
        <w:t xml:space="preserve">cell biology, </w:t>
      </w:r>
      <w:r w:rsidRPr="00DC157D">
        <w:rPr>
          <w:rFonts w:cstheme="minorHAnsi"/>
        </w:rPr>
        <w:t>nutrition</w:t>
      </w:r>
      <w:r w:rsidR="00036B3F" w:rsidRPr="00DC157D">
        <w:rPr>
          <w:rFonts w:cstheme="minorHAnsi"/>
        </w:rPr>
        <w:t xml:space="preserve">, policy and </w:t>
      </w:r>
      <w:r w:rsidR="00B1701F" w:rsidRPr="00DC157D">
        <w:rPr>
          <w:rFonts w:cstheme="minorHAnsi"/>
        </w:rPr>
        <w:t>epidemiology</w:t>
      </w:r>
      <w:r w:rsidRPr="00DC157D">
        <w:rPr>
          <w:rFonts w:cstheme="minorHAnsi"/>
        </w:rPr>
        <w:t xml:space="preserve">. The AGENTS network was awarded </w:t>
      </w:r>
      <w:r w:rsidR="00AB6213" w:rsidRPr="00DC157D">
        <w:rPr>
          <w:rFonts w:cstheme="minorHAnsi"/>
        </w:rPr>
        <w:t xml:space="preserve">a </w:t>
      </w:r>
      <w:r w:rsidRPr="00DC157D">
        <w:rPr>
          <w:rFonts w:cstheme="minorHAnsi"/>
        </w:rPr>
        <w:t>BBSRC/MRC Ag</w:t>
      </w:r>
      <w:r w:rsidR="0026446F" w:rsidRPr="00DC157D">
        <w:rPr>
          <w:rFonts w:cstheme="minorHAnsi"/>
        </w:rPr>
        <w:t>e</w:t>
      </w:r>
      <w:r w:rsidRPr="00DC157D">
        <w:rPr>
          <w:rFonts w:cstheme="minorHAnsi"/>
        </w:rPr>
        <w:t xml:space="preserve">ing Network </w:t>
      </w:r>
      <w:r w:rsidR="00036B3F" w:rsidRPr="00DC157D">
        <w:rPr>
          <w:rFonts w:cstheme="minorHAnsi"/>
        </w:rPr>
        <w:t xml:space="preserve">grant </w:t>
      </w:r>
      <w:r w:rsidRPr="00DC157D">
        <w:rPr>
          <w:rFonts w:cstheme="minorHAnsi"/>
        </w:rPr>
        <w:t xml:space="preserve">in 2022. The AGENTS network aims to develop a programme of </w:t>
      </w:r>
      <w:r w:rsidR="00AB6213" w:rsidRPr="00DC157D">
        <w:rPr>
          <w:rFonts w:cstheme="minorHAnsi"/>
        </w:rPr>
        <w:t>research</w:t>
      </w:r>
      <w:r w:rsidRPr="00DC157D">
        <w:rPr>
          <w:rFonts w:cstheme="minorHAnsi"/>
        </w:rPr>
        <w:t xml:space="preserve"> that will lead to an </w:t>
      </w:r>
      <w:r w:rsidR="0026446F" w:rsidRPr="00DC157D">
        <w:rPr>
          <w:rFonts w:cstheme="minorHAnsi"/>
        </w:rPr>
        <w:t>increase</w:t>
      </w:r>
      <w:r w:rsidRPr="00DC157D">
        <w:rPr>
          <w:rFonts w:cstheme="minorHAnsi"/>
        </w:rPr>
        <w:t xml:space="preserve"> i</w:t>
      </w:r>
      <w:r w:rsidR="00036B3F" w:rsidRPr="00DC157D">
        <w:rPr>
          <w:rFonts w:cstheme="minorHAnsi"/>
        </w:rPr>
        <w:t>n</w:t>
      </w:r>
      <w:r w:rsidRPr="00DC157D">
        <w:rPr>
          <w:rFonts w:cstheme="minorHAnsi"/>
        </w:rPr>
        <w:t xml:space="preserve"> healthy l</w:t>
      </w:r>
      <w:r w:rsidR="00284C34" w:rsidRPr="00DC157D">
        <w:rPr>
          <w:rFonts w:cstheme="minorHAnsi"/>
        </w:rPr>
        <w:t>i</w:t>
      </w:r>
      <w:r w:rsidRPr="00DC157D">
        <w:rPr>
          <w:rFonts w:cstheme="minorHAnsi"/>
        </w:rPr>
        <w:t>fe years</w:t>
      </w:r>
      <w:r w:rsidR="00D700BD" w:rsidRPr="00DC157D">
        <w:rPr>
          <w:rFonts w:cstheme="minorHAnsi"/>
        </w:rPr>
        <w:t>.</w:t>
      </w:r>
      <w:r w:rsidRPr="00DC157D">
        <w:rPr>
          <w:rFonts w:cstheme="minorHAnsi"/>
        </w:rPr>
        <w:t xml:space="preserve"> We believe there are a number of critical unanswered questions relating to ag</w:t>
      </w:r>
      <w:r w:rsidR="0026446F" w:rsidRPr="00DC157D">
        <w:rPr>
          <w:rFonts w:cstheme="minorHAnsi"/>
        </w:rPr>
        <w:t>e</w:t>
      </w:r>
      <w:r w:rsidRPr="00DC157D">
        <w:rPr>
          <w:rFonts w:cstheme="minorHAnsi"/>
        </w:rPr>
        <w:t xml:space="preserve">ing and nutrition sensing. The following document represents the consensus opinion of the AGENTS network concerning the key </w:t>
      </w:r>
      <w:r w:rsidR="00AB6213" w:rsidRPr="00DC157D">
        <w:rPr>
          <w:rFonts w:cstheme="minorHAnsi"/>
        </w:rPr>
        <w:t xml:space="preserve">research </w:t>
      </w:r>
      <w:r w:rsidRPr="00DC157D">
        <w:rPr>
          <w:rFonts w:cstheme="minorHAnsi"/>
        </w:rPr>
        <w:t xml:space="preserve">challenges </w:t>
      </w:r>
      <w:r w:rsidR="00AB6213" w:rsidRPr="00DC157D">
        <w:rPr>
          <w:rFonts w:cstheme="minorHAnsi"/>
        </w:rPr>
        <w:t xml:space="preserve">to address the factors </w:t>
      </w:r>
      <w:r w:rsidRPr="00DC157D">
        <w:rPr>
          <w:rFonts w:cstheme="minorHAnsi"/>
        </w:rPr>
        <w:t xml:space="preserve">that </w:t>
      </w:r>
      <w:r w:rsidR="00AB6213" w:rsidRPr="00DC157D">
        <w:rPr>
          <w:rFonts w:cstheme="minorHAnsi"/>
        </w:rPr>
        <w:t xml:space="preserve">contribute to </w:t>
      </w:r>
      <w:r w:rsidRPr="00DC157D">
        <w:rPr>
          <w:rFonts w:cstheme="minorHAnsi"/>
        </w:rPr>
        <w:t xml:space="preserve">the decline in health </w:t>
      </w:r>
      <w:r w:rsidR="00AB6213" w:rsidRPr="00DC157D">
        <w:rPr>
          <w:rFonts w:cstheme="minorHAnsi"/>
        </w:rPr>
        <w:t xml:space="preserve">during ageing </w:t>
      </w:r>
      <w:r w:rsidR="00284C34" w:rsidRPr="00DC157D">
        <w:rPr>
          <w:rFonts w:cstheme="minorHAnsi"/>
        </w:rPr>
        <w:t xml:space="preserve">and </w:t>
      </w:r>
      <w:r w:rsidR="00AB6213" w:rsidRPr="00DC157D">
        <w:rPr>
          <w:rFonts w:cstheme="minorHAnsi"/>
        </w:rPr>
        <w:t xml:space="preserve">that </w:t>
      </w:r>
      <w:r w:rsidR="00284C34" w:rsidRPr="00DC157D">
        <w:rPr>
          <w:rFonts w:cstheme="minorHAnsi"/>
        </w:rPr>
        <w:t xml:space="preserve">increase </w:t>
      </w:r>
      <w:r w:rsidR="00AB6213" w:rsidRPr="00DC157D">
        <w:rPr>
          <w:rFonts w:cstheme="minorHAnsi"/>
        </w:rPr>
        <w:t xml:space="preserve">the </w:t>
      </w:r>
      <w:r w:rsidR="00284C34" w:rsidRPr="00DC157D">
        <w:rPr>
          <w:rFonts w:cstheme="minorHAnsi"/>
        </w:rPr>
        <w:t>bur</w:t>
      </w:r>
      <w:r w:rsidR="00AB6213" w:rsidRPr="00DC157D">
        <w:rPr>
          <w:rFonts w:cstheme="minorHAnsi"/>
        </w:rPr>
        <w:t>den</w:t>
      </w:r>
      <w:r w:rsidR="00284C34" w:rsidRPr="00DC157D">
        <w:rPr>
          <w:rFonts w:cstheme="minorHAnsi"/>
        </w:rPr>
        <w:t xml:space="preserve"> of </w:t>
      </w:r>
      <w:r w:rsidR="00AB6213" w:rsidRPr="00DC157D">
        <w:rPr>
          <w:rFonts w:cstheme="minorHAnsi"/>
        </w:rPr>
        <w:t>a</w:t>
      </w:r>
      <w:r w:rsidR="00DC7926" w:rsidRPr="00DC157D">
        <w:rPr>
          <w:rFonts w:cstheme="minorHAnsi"/>
        </w:rPr>
        <w:t>g</w:t>
      </w:r>
      <w:r w:rsidR="00AB6213" w:rsidRPr="00DC157D">
        <w:rPr>
          <w:rFonts w:cstheme="minorHAnsi"/>
        </w:rPr>
        <w:t xml:space="preserve">e-related disability and </w:t>
      </w:r>
      <w:r w:rsidR="00284C34" w:rsidRPr="00DC157D">
        <w:rPr>
          <w:rFonts w:cstheme="minorHAnsi"/>
        </w:rPr>
        <w:t>disease</w:t>
      </w:r>
      <w:r w:rsidRPr="00DC157D">
        <w:rPr>
          <w:rFonts w:cstheme="minorHAnsi"/>
        </w:rPr>
        <w:t>.</w:t>
      </w:r>
      <w:r w:rsidR="00DC157D" w:rsidRPr="00DC157D">
        <w:rPr>
          <w:rFonts w:cstheme="minorHAnsi"/>
        </w:rPr>
        <w:t xml:space="preserve"> In addition to this, we aim to provide an overview of the AGENTS Network and how it is building a community to develop new knowledge in the area of ageing and nutrition sensing.</w:t>
      </w:r>
    </w:p>
    <w:p w14:paraId="55FD6E2B" w14:textId="77777777" w:rsidR="00DC7926" w:rsidRPr="00DC157D" w:rsidRDefault="00DC7926" w:rsidP="00685D0F">
      <w:pPr>
        <w:shd w:val="clear" w:color="auto" w:fill="FFFFFF"/>
        <w:spacing w:after="0" w:line="240" w:lineRule="auto"/>
        <w:jc w:val="both"/>
        <w:outlineLvl w:val="3"/>
        <w:rPr>
          <w:rFonts w:eastAsia="Times New Roman" w:cstheme="minorHAnsi"/>
          <w:b/>
          <w:bCs/>
          <w:color w:val="000000" w:themeColor="text1"/>
          <w:lang w:eastAsia="en-GB"/>
        </w:rPr>
      </w:pPr>
    </w:p>
    <w:p w14:paraId="340400F4" w14:textId="6E508CFD" w:rsidR="00DE22A0" w:rsidRPr="00DC157D" w:rsidRDefault="00284C34" w:rsidP="00685D0F">
      <w:pPr>
        <w:jc w:val="both"/>
        <w:rPr>
          <w:rFonts w:cstheme="minorHAnsi"/>
        </w:rPr>
      </w:pPr>
      <w:r w:rsidRPr="00DC157D">
        <w:rPr>
          <w:rFonts w:cstheme="minorHAnsi"/>
        </w:rPr>
        <w:t>As a construct to work from</w:t>
      </w:r>
      <w:r w:rsidR="004363CD" w:rsidRPr="00DC157D">
        <w:rPr>
          <w:rFonts w:cstheme="minorHAnsi"/>
        </w:rPr>
        <w:t>,</w:t>
      </w:r>
      <w:r w:rsidRPr="00DC157D">
        <w:rPr>
          <w:rFonts w:cstheme="minorHAnsi"/>
        </w:rPr>
        <w:t xml:space="preserve"> the Network have defined nutrition sensing as</w:t>
      </w:r>
      <w:r w:rsidR="00DE22A0" w:rsidRPr="00DC157D">
        <w:rPr>
          <w:rFonts w:cstheme="minorHAnsi"/>
        </w:rPr>
        <w:t>:</w:t>
      </w:r>
    </w:p>
    <w:p w14:paraId="19640D14" w14:textId="73F3E2CB" w:rsidR="00284C34" w:rsidRPr="00DC157D" w:rsidRDefault="00284C34" w:rsidP="00685D0F">
      <w:pPr>
        <w:jc w:val="both"/>
        <w:rPr>
          <w:rFonts w:cstheme="minorHAnsi"/>
          <w:i/>
        </w:rPr>
      </w:pPr>
      <w:r w:rsidRPr="00DC157D">
        <w:rPr>
          <w:rFonts w:cstheme="minorHAnsi"/>
          <w:i/>
        </w:rPr>
        <w:t>“</w:t>
      </w:r>
      <w:r w:rsidR="00CF1223" w:rsidRPr="00DC157D">
        <w:rPr>
          <w:rFonts w:cstheme="minorHAnsi"/>
          <w:i/>
        </w:rPr>
        <w:t>Systems at multiple scales that detect and respond to nutritional flux</w:t>
      </w:r>
      <w:r w:rsidR="0013697E" w:rsidRPr="00DC157D">
        <w:rPr>
          <w:rFonts w:cstheme="minorHAnsi"/>
          <w:i/>
        </w:rPr>
        <w:t>.</w:t>
      </w:r>
      <w:r w:rsidR="00CF1223" w:rsidRPr="00DC157D">
        <w:rPr>
          <w:rFonts w:cstheme="minorHAnsi"/>
          <w:i/>
        </w:rPr>
        <w:t>”</w:t>
      </w:r>
    </w:p>
    <w:p w14:paraId="07F9476E" w14:textId="20BFDD2A" w:rsidR="00DE22A0" w:rsidRPr="00DC157D" w:rsidRDefault="0026446F" w:rsidP="00685D0F">
      <w:pPr>
        <w:jc w:val="both"/>
        <w:rPr>
          <w:rFonts w:cstheme="minorHAnsi"/>
        </w:rPr>
      </w:pPr>
      <w:r w:rsidRPr="00DC157D">
        <w:rPr>
          <w:rFonts w:cstheme="minorHAnsi"/>
        </w:rPr>
        <w:t>In addition, we have adopted the WHO definition of biological ageing:</w:t>
      </w:r>
    </w:p>
    <w:p w14:paraId="3C62B1E4" w14:textId="01B72A1F" w:rsidR="00DE22A0" w:rsidRPr="00DC157D" w:rsidRDefault="00DE22A0" w:rsidP="00685D0F">
      <w:pPr>
        <w:jc w:val="both"/>
        <w:rPr>
          <w:rFonts w:cstheme="minorHAnsi"/>
          <w:i/>
        </w:rPr>
      </w:pPr>
      <w:r w:rsidRPr="00DC157D">
        <w:rPr>
          <w:rFonts w:cstheme="minorHAnsi"/>
          <w:i/>
        </w:rPr>
        <w:t>“</w:t>
      </w:r>
      <w:r w:rsidR="00036B3F" w:rsidRPr="00DC157D">
        <w:rPr>
          <w:rFonts w:cstheme="minorHAnsi"/>
          <w:i/>
        </w:rPr>
        <w:t>T</w:t>
      </w:r>
      <w:r w:rsidRPr="00DC157D">
        <w:rPr>
          <w:rFonts w:cstheme="minorHAnsi"/>
          <w:i/>
        </w:rPr>
        <w:t>he impact of the accumulation of a wide variety of molecular and cellular damage over time. This leads to a gradual decrease in physical and mental capacity, a growing risk of disease and ultimately death. These changes are neither linear nor consistent”</w:t>
      </w:r>
      <w:r w:rsidR="00CF1223" w:rsidRPr="00DC157D">
        <w:rPr>
          <w:rFonts w:cstheme="minorHAnsi"/>
          <w:i/>
        </w:rPr>
        <w:t>.</w:t>
      </w:r>
    </w:p>
    <w:p w14:paraId="01B7C855" w14:textId="3A16C36B" w:rsidR="00CF1223" w:rsidRPr="00DC157D" w:rsidRDefault="00987B3B" w:rsidP="00685D0F">
      <w:pPr>
        <w:jc w:val="both"/>
        <w:rPr>
          <w:rFonts w:cstheme="minorHAnsi"/>
        </w:rPr>
      </w:pPr>
      <w:r w:rsidRPr="00DC157D">
        <w:rPr>
          <w:rFonts w:cstheme="minorHAnsi"/>
        </w:rPr>
        <w:t xml:space="preserve">AGENTS </w:t>
      </w:r>
      <w:r w:rsidR="00AB6213" w:rsidRPr="00DC157D">
        <w:rPr>
          <w:rFonts w:cstheme="minorHAnsi"/>
        </w:rPr>
        <w:t xml:space="preserve">has identified </w:t>
      </w:r>
      <w:r w:rsidRPr="00DC157D">
        <w:rPr>
          <w:rFonts w:cstheme="minorHAnsi"/>
        </w:rPr>
        <w:t xml:space="preserve">the following areas as challenges to </w:t>
      </w:r>
      <w:r w:rsidR="006E39EF" w:rsidRPr="00DC157D">
        <w:rPr>
          <w:rFonts w:cstheme="minorHAnsi"/>
        </w:rPr>
        <w:t xml:space="preserve">advance understanding </w:t>
      </w:r>
      <w:r w:rsidR="0026446F" w:rsidRPr="00DC157D">
        <w:rPr>
          <w:rFonts w:cstheme="minorHAnsi"/>
        </w:rPr>
        <w:t>of the</w:t>
      </w:r>
      <w:r w:rsidRPr="00DC157D">
        <w:rPr>
          <w:rFonts w:cstheme="minorHAnsi"/>
        </w:rPr>
        <w:t xml:space="preserve"> field of ag</w:t>
      </w:r>
      <w:r w:rsidR="00AB6213" w:rsidRPr="00DC157D">
        <w:rPr>
          <w:rFonts w:cstheme="minorHAnsi"/>
        </w:rPr>
        <w:t>e</w:t>
      </w:r>
      <w:r w:rsidRPr="00DC157D">
        <w:rPr>
          <w:rFonts w:cstheme="minorHAnsi"/>
        </w:rPr>
        <w:t>ing and nutrition sensing</w:t>
      </w:r>
      <w:r w:rsidR="00D072D7" w:rsidRPr="00DC157D">
        <w:rPr>
          <w:rFonts w:cstheme="minorHAnsi"/>
        </w:rPr>
        <w:t>:</w:t>
      </w:r>
    </w:p>
    <w:p w14:paraId="38F01A0C" w14:textId="77777777" w:rsidR="0026446F" w:rsidRPr="00DC157D" w:rsidRDefault="0026446F" w:rsidP="00685D0F">
      <w:pPr>
        <w:pStyle w:val="ListParagraph"/>
        <w:numPr>
          <w:ilvl w:val="0"/>
          <w:numId w:val="2"/>
        </w:numPr>
        <w:jc w:val="both"/>
        <w:rPr>
          <w:rFonts w:cstheme="minorHAnsi"/>
        </w:rPr>
      </w:pPr>
      <w:r w:rsidRPr="00DC157D">
        <w:rPr>
          <w:rFonts w:cstheme="minorHAnsi"/>
        </w:rPr>
        <w:t>Many common non-communicable diseases result from dysregulation of nutrition sensing pathways, which are poorly understood.</w:t>
      </w:r>
    </w:p>
    <w:p w14:paraId="6E242289" w14:textId="77777777" w:rsidR="0026446F" w:rsidRPr="00DC157D" w:rsidRDefault="0026446F" w:rsidP="00685D0F">
      <w:pPr>
        <w:pStyle w:val="ListParagraph"/>
        <w:numPr>
          <w:ilvl w:val="0"/>
          <w:numId w:val="2"/>
        </w:numPr>
        <w:jc w:val="both"/>
        <w:rPr>
          <w:rFonts w:cstheme="minorHAnsi"/>
        </w:rPr>
      </w:pPr>
      <w:r w:rsidRPr="00DC157D">
        <w:rPr>
          <w:rFonts w:cstheme="minorHAnsi"/>
        </w:rPr>
        <w:t>Evidence suggests that nutrition sensing plays an important role in homeostatic mechanisms from the cell to whole body metabolism and food choice.</w:t>
      </w:r>
    </w:p>
    <w:p w14:paraId="7B4DDC59" w14:textId="77777777" w:rsidR="0026446F" w:rsidRPr="00DC157D" w:rsidRDefault="0026446F" w:rsidP="00685D0F">
      <w:pPr>
        <w:pStyle w:val="ListParagraph"/>
        <w:numPr>
          <w:ilvl w:val="0"/>
          <w:numId w:val="2"/>
        </w:numPr>
        <w:jc w:val="both"/>
        <w:rPr>
          <w:rFonts w:cstheme="minorHAnsi"/>
        </w:rPr>
      </w:pPr>
      <w:r w:rsidRPr="00DC157D">
        <w:rPr>
          <w:rFonts w:cstheme="minorHAnsi"/>
        </w:rPr>
        <w:t>There is need to understand how an individual’s environment influences nutrition sensing and vice versa.</w:t>
      </w:r>
    </w:p>
    <w:p w14:paraId="750B48D3" w14:textId="4FB7FC73" w:rsidR="0026446F" w:rsidRPr="00DC157D" w:rsidRDefault="0026446F" w:rsidP="00685D0F">
      <w:pPr>
        <w:pStyle w:val="ListParagraph"/>
        <w:numPr>
          <w:ilvl w:val="0"/>
          <w:numId w:val="2"/>
        </w:numPr>
        <w:jc w:val="both"/>
        <w:rPr>
          <w:rFonts w:cstheme="minorHAnsi"/>
        </w:rPr>
      </w:pPr>
      <w:r w:rsidRPr="33DCEB6C">
        <w:t xml:space="preserve">There are well described fundamental </w:t>
      </w:r>
      <w:r w:rsidR="0012696B" w:rsidRPr="33DCEB6C">
        <w:t>biological nutrition</w:t>
      </w:r>
      <w:r w:rsidRPr="33DCEB6C">
        <w:t xml:space="preserve"> sensing pathways that influence lifespan in unicellular organisms and small mammals but there is little understanding about how these influence whole body human physiology.</w:t>
      </w:r>
    </w:p>
    <w:p w14:paraId="4CF5C8A7" w14:textId="77777777" w:rsidR="0026446F" w:rsidRPr="00DC157D" w:rsidRDefault="0026446F" w:rsidP="00685D0F">
      <w:pPr>
        <w:pStyle w:val="ListParagraph"/>
        <w:numPr>
          <w:ilvl w:val="0"/>
          <w:numId w:val="2"/>
        </w:numPr>
        <w:jc w:val="both"/>
        <w:rPr>
          <w:rFonts w:cstheme="minorHAnsi"/>
        </w:rPr>
      </w:pPr>
      <w:r w:rsidRPr="33DCEB6C">
        <w:t xml:space="preserve">There is a lack of biomarkers that can be used to map each of the links between nutrition sensing and human ageing. </w:t>
      </w:r>
    </w:p>
    <w:p w14:paraId="6296FA7E" w14:textId="77777777" w:rsidR="0026446F" w:rsidRPr="00DC157D" w:rsidRDefault="0026446F" w:rsidP="00685D0F">
      <w:pPr>
        <w:jc w:val="both"/>
        <w:rPr>
          <w:rFonts w:cstheme="minorHAnsi"/>
        </w:rPr>
      </w:pPr>
      <w:r w:rsidRPr="00DC157D">
        <w:rPr>
          <w:rFonts w:cstheme="minorHAnsi"/>
        </w:rPr>
        <w:t>To improve understanding in these areas, the AGENTS network has developed (and will support, via pump priming funds) four multidisciplinary projects. These projects will bring together researchers from multiple institutions and disciplines to stimulate new research thinking and innovative research approaches  and will generate larger research projects that will bring new understanding to the field.  These projects are summarised below:</w:t>
      </w:r>
    </w:p>
    <w:p w14:paraId="30A468D0" w14:textId="77777777" w:rsidR="00002F83" w:rsidRPr="00DC157D" w:rsidRDefault="00002F83" w:rsidP="00685D0F">
      <w:pPr>
        <w:jc w:val="both"/>
        <w:rPr>
          <w:rFonts w:cstheme="minorHAnsi"/>
          <w:b/>
        </w:rPr>
      </w:pPr>
    </w:p>
    <w:p w14:paraId="21F15561" w14:textId="5297FEAA" w:rsidR="000028C1" w:rsidRPr="00DC157D" w:rsidRDefault="000028C1" w:rsidP="00685D0F">
      <w:pPr>
        <w:jc w:val="both"/>
        <w:rPr>
          <w:rFonts w:cstheme="minorHAnsi"/>
        </w:rPr>
      </w:pPr>
      <w:r w:rsidRPr="00DC157D">
        <w:rPr>
          <w:rFonts w:cstheme="minorHAnsi"/>
          <w:b/>
        </w:rPr>
        <w:t>Project 1:</w:t>
      </w:r>
      <w:r w:rsidR="002D41C0" w:rsidRPr="00DC157D">
        <w:rPr>
          <w:rFonts w:cstheme="minorHAnsi"/>
          <w:b/>
        </w:rPr>
        <w:t xml:space="preserve"> </w:t>
      </w:r>
      <w:r w:rsidR="003E3E81" w:rsidRPr="00DC157D">
        <w:rPr>
          <w:rFonts w:cstheme="minorHAnsi"/>
          <w:b/>
        </w:rPr>
        <w:t>Understanding and influencing the mechanisms of a</w:t>
      </w:r>
      <w:r w:rsidR="000E7895" w:rsidRPr="00DC157D">
        <w:rPr>
          <w:rFonts w:cstheme="minorHAnsi"/>
          <w:b/>
        </w:rPr>
        <w:t>geing</w:t>
      </w:r>
      <w:r w:rsidR="003E3E81" w:rsidRPr="00DC157D">
        <w:rPr>
          <w:rFonts w:cstheme="minorHAnsi"/>
          <w:b/>
        </w:rPr>
        <w:t xml:space="preserve"> through dietary interventions</w:t>
      </w:r>
      <w:r w:rsidR="00C94284" w:rsidRPr="00DC157D">
        <w:rPr>
          <w:rFonts w:cstheme="minorHAnsi"/>
          <w:b/>
        </w:rPr>
        <w:t xml:space="preserve">.  </w:t>
      </w:r>
      <w:r w:rsidRPr="00DC157D">
        <w:rPr>
          <w:rFonts w:cstheme="minorHAnsi"/>
        </w:rPr>
        <w:t xml:space="preserve">Aims to bring a better understanding </w:t>
      </w:r>
      <w:r w:rsidR="0011101A" w:rsidRPr="00DC157D">
        <w:rPr>
          <w:rFonts w:cstheme="minorHAnsi"/>
        </w:rPr>
        <w:t xml:space="preserve">to the interplay between genetic polymorphisms in </w:t>
      </w:r>
      <w:r w:rsidR="0012696B">
        <w:rPr>
          <w:rFonts w:cstheme="minorHAnsi"/>
        </w:rPr>
        <w:t>nutrition</w:t>
      </w:r>
      <w:r w:rsidR="0011101A" w:rsidRPr="00DC157D">
        <w:rPr>
          <w:rFonts w:cstheme="minorHAnsi"/>
        </w:rPr>
        <w:t xml:space="preserve"> sensing genes and dietary intake</w:t>
      </w:r>
      <w:r w:rsidRPr="00DC157D">
        <w:rPr>
          <w:rFonts w:cstheme="minorHAnsi"/>
        </w:rPr>
        <w:t>. This will help identify potential strategies to improve the ageing trajectory and health span. The project will</w:t>
      </w:r>
      <w:r w:rsidR="006E39EF" w:rsidRPr="00DC157D">
        <w:rPr>
          <w:rFonts w:cstheme="minorHAnsi"/>
        </w:rPr>
        <w:t xml:space="preserve"> be conducted in two stages</w:t>
      </w:r>
      <w:r w:rsidRPr="00DC157D">
        <w:rPr>
          <w:rFonts w:cstheme="minorHAnsi"/>
        </w:rPr>
        <w:t xml:space="preserve">. </w:t>
      </w:r>
      <w:r w:rsidR="00B04F0B" w:rsidRPr="00DC157D">
        <w:rPr>
          <w:rFonts w:cstheme="minorHAnsi"/>
        </w:rPr>
        <w:t xml:space="preserve">A modified Delphi technique will first be utilised to gain an expert consensus on the best biomarkers for ageing </w:t>
      </w:r>
      <w:r w:rsidRPr="00DC157D">
        <w:rPr>
          <w:rFonts w:cstheme="minorHAnsi"/>
        </w:rPr>
        <w:t>(current and future)</w:t>
      </w:r>
      <w:r w:rsidR="00B04F0B" w:rsidRPr="00DC157D">
        <w:rPr>
          <w:rFonts w:cstheme="minorHAnsi"/>
        </w:rPr>
        <w:t>. An expert panel will rank possible biomarkers until a consensus of agreement is obtained.</w:t>
      </w:r>
      <w:r w:rsidRPr="00DC157D">
        <w:rPr>
          <w:rFonts w:cstheme="minorHAnsi"/>
        </w:rPr>
        <w:t xml:space="preserve"> The Delphi stage of the study will be funded by the network and will bring new insights into the biomarkers of ageing. The second stage will investigate the effect of </w:t>
      </w:r>
      <w:r w:rsidR="00B04F0B" w:rsidRPr="00DC157D">
        <w:rPr>
          <w:rFonts w:cstheme="minorHAnsi"/>
        </w:rPr>
        <w:t>food insecurity and time restricted eating</w:t>
      </w:r>
      <w:r w:rsidRPr="00DC157D">
        <w:rPr>
          <w:rFonts w:cstheme="minorHAnsi"/>
        </w:rPr>
        <w:t xml:space="preserve"> on the biomarkers of ageing identified in stage 1. </w:t>
      </w:r>
      <w:r w:rsidR="00B04F0B" w:rsidRPr="00DC157D">
        <w:rPr>
          <w:rFonts w:cstheme="minorHAnsi"/>
        </w:rPr>
        <w:t xml:space="preserve">Food insecurity indicates limited or unreliable access to nutritious food and can result in variability between food quality and food intake. Time restricted eating is a dietary pattern that limits food consumption to a certain time period. Both dietary patterns are characterised by periods of fasting but it is hypothesised that these eating patterns will have opposing effects on the ageing trajectory. We hypothesis that experimentally induced food insecurity may </w:t>
      </w:r>
      <w:r w:rsidRPr="00DC157D">
        <w:rPr>
          <w:rFonts w:cstheme="minorHAnsi"/>
        </w:rPr>
        <w:t xml:space="preserve">accelerate </w:t>
      </w:r>
      <w:r w:rsidR="00B04F0B" w:rsidRPr="00DC157D">
        <w:rPr>
          <w:rFonts w:cstheme="minorHAnsi"/>
        </w:rPr>
        <w:t xml:space="preserve">the ageing process by </w:t>
      </w:r>
      <w:r w:rsidRPr="00DC157D">
        <w:rPr>
          <w:rFonts w:cstheme="minorHAnsi"/>
        </w:rPr>
        <w:t xml:space="preserve">compromising </w:t>
      </w:r>
      <w:r w:rsidR="0012696B">
        <w:rPr>
          <w:rFonts w:cstheme="minorHAnsi"/>
        </w:rPr>
        <w:t xml:space="preserve">nutrition </w:t>
      </w:r>
      <w:r w:rsidRPr="00DC157D">
        <w:rPr>
          <w:rFonts w:cstheme="minorHAnsi"/>
        </w:rPr>
        <w:t>sensing/metabolic pathways while time restricted eating may reflect a decelerated model of ageing. The study will provide a better understanding of the social and dietary factors impacting the ageing process while unravelling aspects of the mechanism behind it. Funding for this project will be sought from another source but will be strengthened by AGENTs funding and preliminary data collection</w:t>
      </w:r>
    </w:p>
    <w:p w14:paraId="42652FC6" w14:textId="77777777" w:rsidR="000028C1" w:rsidRPr="00DC157D" w:rsidRDefault="000028C1" w:rsidP="00685D0F">
      <w:pPr>
        <w:jc w:val="both"/>
        <w:rPr>
          <w:rFonts w:cstheme="minorHAnsi"/>
        </w:rPr>
      </w:pPr>
    </w:p>
    <w:p w14:paraId="406DBA4F" w14:textId="6830FE1A" w:rsidR="001462BB" w:rsidRPr="00DC157D" w:rsidRDefault="000028C1" w:rsidP="00685D0F">
      <w:pPr>
        <w:jc w:val="both"/>
        <w:rPr>
          <w:rFonts w:cstheme="minorHAnsi"/>
          <w:b/>
        </w:rPr>
      </w:pPr>
      <w:r w:rsidRPr="00DC157D">
        <w:rPr>
          <w:rFonts w:cstheme="minorHAnsi"/>
          <w:b/>
        </w:rPr>
        <w:t xml:space="preserve">Project 2:  </w:t>
      </w:r>
      <w:r w:rsidR="00DC157D">
        <w:rPr>
          <w:rFonts w:cstheme="minorHAnsi"/>
          <w:b/>
        </w:rPr>
        <w:t>Gene p</w:t>
      </w:r>
      <w:r w:rsidR="007168E0" w:rsidRPr="00DC157D">
        <w:rPr>
          <w:rFonts w:cstheme="minorHAnsi"/>
          <w:b/>
        </w:rPr>
        <w:t>olymorphisms and m</w:t>
      </w:r>
      <w:r w:rsidR="00BD1131" w:rsidRPr="00DC157D">
        <w:rPr>
          <w:rFonts w:cstheme="minorHAnsi"/>
          <w:b/>
        </w:rPr>
        <w:t>ech</w:t>
      </w:r>
      <w:r w:rsidR="00896926" w:rsidRPr="00DC157D">
        <w:rPr>
          <w:rFonts w:cstheme="minorHAnsi"/>
          <w:b/>
        </w:rPr>
        <w:t>anistic unde</w:t>
      </w:r>
      <w:r w:rsidR="001462BB" w:rsidRPr="00DC157D">
        <w:rPr>
          <w:rFonts w:cstheme="minorHAnsi"/>
          <w:b/>
        </w:rPr>
        <w:t>rs</w:t>
      </w:r>
      <w:r w:rsidR="00896926" w:rsidRPr="00DC157D">
        <w:rPr>
          <w:rFonts w:cstheme="minorHAnsi"/>
          <w:b/>
        </w:rPr>
        <w:t>tanding of impact of nutrition on healthy ag</w:t>
      </w:r>
      <w:r w:rsidR="001462BB" w:rsidRPr="00DC157D">
        <w:rPr>
          <w:rFonts w:cstheme="minorHAnsi"/>
          <w:b/>
        </w:rPr>
        <w:t>eing</w:t>
      </w:r>
      <w:r w:rsidR="00090A65" w:rsidRPr="00DC157D">
        <w:rPr>
          <w:rFonts w:cstheme="minorHAnsi"/>
          <w:b/>
        </w:rPr>
        <w:t>.</w:t>
      </w:r>
    </w:p>
    <w:p w14:paraId="3E5EB8E9" w14:textId="49BC0219" w:rsidR="0026446F" w:rsidRPr="00DC157D" w:rsidRDefault="0026446F" w:rsidP="00685D0F">
      <w:pPr>
        <w:jc w:val="both"/>
        <w:rPr>
          <w:rFonts w:cstheme="minorHAnsi"/>
        </w:rPr>
      </w:pPr>
      <w:r w:rsidRPr="00DC157D">
        <w:rPr>
          <w:rFonts w:cstheme="minorHAnsi"/>
        </w:rPr>
        <w:t>This aims to understand the impact of nutrition and genetic polymorphisms on healthy ageing. Nutrition is an important factor that is known to impact the ageing process and the risk of morbidity. However, the response to nutrition differs greatly between people. We hypothesize that this heterogeneity in response to dietary factors is due to polymorphisms in </w:t>
      </w:r>
      <w:r w:rsidR="0012696B">
        <w:rPr>
          <w:rFonts w:cstheme="minorHAnsi"/>
        </w:rPr>
        <w:t xml:space="preserve">nutrition </w:t>
      </w:r>
      <w:r w:rsidRPr="00DC157D">
        <w:rPr>
          <w:rFonts w:cstheme="minorHAnsi"/>
        </w:rPr>
        <w:t>sensing genes. This project will have three stages. The first stage will</w:t>
      </w:r>
      <w:r w:rsidR="00DC157D">
        <w:rPr>
          <w:rFonts w:cstheme="minorHAnsi"/>
        </w:rPr>
        <w:t xml:space="preserve"> include a short review of the area </w:t>
      </w:r>
      <w:r w:rsidRPr="00DC157D">
        <w:rPr>
          <w:rFonts w:cstheme="minorHAnsi"/>
        </w:rPr>
        <w:t xml:space="preserve">to identify candidate genes implicated in </w:t>
      </w:r>
      <w:r w:rsidR="0012696B">
        <w:rPr>
          <w:rFonts w:cstheme="minorHAnsi"/>
        </w:rPr>
        <w:t xml:space="preserve">nutrition </w:t>
      </w:r>
      <w:r w:rsidRPr="00DC157D">
        <w:rPr>
          <w:rFonts w:cstheme="minorHAnsi"/>
        </w:rPr>
        <w:t>sensing pathways. The second stage will use access to big data sets (e.g., UK BioBank) to investigate the relationship between the polymorphisms in the candidate genes identified in stage 1 and ageing related factors available such as BMI, body composition, cognition and muscle strength/frailty. These two stages will be funded and supported by the network. These will bring new insights into the relationship between nutri</w:t>
      </w:r>
      <w:r w:rsidR="0012696B">
        <w:rPr>
          <w:rFonts w:cstheme="minorHAnsi"/>
        </w:rPr>
        <w:t>tion</w:t>
      </w:r>
      <w:r w:rsidRPr="00DC157D">
        <w:rPr>
          <w:rFonts w:cstheme="minorHAnsi"/>
        </w:rPr>
        <w:t xml:space="preserve"> sensing, polymorphisms of these pathways and ageing parameters. </w:t>
      </w:r>
    </w:p>
    <w:p w14:paraId="52E89836" w14:textId="2E909CB6" w:rsidR="0026446F" w:rsidRPr="00DC157D" w:rsidRDefault="0026446F" w:rsidP="00685D0F">
      <w:pPr>
        <w:jc w:val="both"/>
        <w:rPr>
          <w:rFonts w:cstheme="minorHAnsi"/>
        </w:rPr>
      </w:pPr>
      <w:r w:rsidRPr="00DC157D">
        <w:rPr>
          <w:rFonts w:cstheme="minorHAnsi"/>
        </w:rPr>
        <w:t>The third stage of the study will involve mecha</w:t>
      </w:r>
      <w:r w:rsidR="0012696B">
        <w:rPr>
          <w:rFonts w:cstheme="minorHAnsi"/>
        </w:rPr>
        <w:t>nistic investigation of nutrition</w:t>
      </w:r>
      <w:r w:rsidRPr="00DC157D">
        <w:rPr>
          <w:rFonts w:cstheme="minorHAnsi"/>
        </w:rPr>
        <w:t xml:space="preserve"> sensing pathways: cell and animal models, impact of polymorphisms on gastrointestinal and neuronal functions and potentially a human study looking into physiology. Funding for this project will be sought from another source but will be strengthened by AGENTS funding and preliminary data collection.</w:t>
      </w:r>
    </w:p>
    <w:p w14:paraId="7BA0F206" w14:textId="77777777" w:rsidR="000028C1" w:rsidRPr="00DC157D" w:rsidRDefault="000028C1" w:rsidP="00685D0F">
      <w:pPr>
        <w:jc w:val="both"/>
        <w:rPr>
          <w:rFonts w:cstheme="minorHAnsi"/>
        </w:rPr>
      </w:pPr>
    </w:p>
    <w:p w14:paraId="1BD3AB24" w14:textId="77777777" w:rsidR="006233E7" w:rsidRPr="00DC157D" w:rsidRDefault="000028C1" w:rsidP="00685D0F">
      <w:pPr>
        <w:jc w:val="both"/>
        <w:rPr>
          <w:rFonts w:cstheme="minorHAnsi"/>
          <w:b/>
        </w:rPr>
      </w:pPr>
      <w:r w:rsidRPr="00DC157D">
        <w:rPr>
          <w:rFonts w:cstheme="minorHAnsi"/>
          <w:b/>
        </w:rPr>
        <w:t xml:space="preserve">Project 3: </w:t>
      </w:r>
      <w:r w:rsidR="006233E7" w:rsidRPr="00DC157D">
        <w:rPr>
          <w:rFonts w:cstheme="minorHAnsi"/>
          <w:b/>
          <w:bCs/>
        </w:rPr>
        <w:t>Understanding the Biological Mechanism and Societal Determinants of Anorexia of Ageing</w:t>
      </w:r>
    </w:p>
    <w:p w14:paraId="6871D7DF" w14:textId="1CB7CAB3" w:rsidR="000028C1" w:rsidRPr="00DC157D" w:rsidRDefault="00285271" w:rsidP="00685D0F">
      <w:pPr>
        <w:jc w:val="both"/>
        <w:rPr>
          <w:rFonts w:cstheme="minorHAnsi"/>
        </w:rPr>
      </w:pPr>
      <w:r w:rsidRPr="00DC157D">
        <w:rPr>
          <w:rFonts w:cstheme="minorHAnsi"/>
        </w:rPr>
        <w:t>Many older people consume too little food due to anorexia of ageing and this contribute to the development of many age-related problems including sarcopenia. This project a</w:t>
      </w:r>
      <w:r w:rsidR="00D700BD" w:rsidRPr="00DC157D">
        <w:rPr>
          <w:rFonts w:cstheme="minorHAnsi"/>
        </w:rPr>
        <w:t>ims to</w:t>
      </w:r>
      <w:r w:rsidR="000028C1" w:rsidRPr="00DC157D">
        <w:rPr>
          <w:rFonts w:cstheme="minorHAnsi"/>
        </w:rPr>
        <w:t xml:space="preserve"> focus on understanding the biological mechanism and societal determinants of anorexia of ageing. The project will aim to address the consensus on the definition of anorexia of ageing. Following this, the study will include two stages. The stage 1 will aim to collect preliminary data by using tissues from older adults and testing these on gut on a chip model. Stage 2 will include a review on the social aspects surrounding the anorexia of ageing such as food insecurity. Both stages will be supported by network funding and will bring new understanding regarding the mechanism as well as the social aspects impacting anorexia of ageing. </w:t>
      </w:r>
    </w:p>
    <w:p w14:paraId="7273846A" w14:textId="77777777" w:rsidR="000028C1" w:rsidRPr="00DC157D" w:rsidRDefault="000028C1" w:rsidP="00685D0F">
      <w:pPr>
        <w:jc w:val="both"/>
        <w:rPr>
          <w:rFonts w:cstheme="minorHAnsi"/>
        </w:rPr>
      </w:pPr>
    </w:p>
    <w:p w14:paraId="65EE1DAC" w14:textId="539BCFE0" w:rsidR="00184F4A" w:rsidRPr="00DC157D" w:rsidRDefault="000028C1" w:rsidP="00685D0F">
      <w:pPr>
        <w:jc w:val="both"/>
        <w:rPr>
          <w:rFonts w:cstheme="minorHAnsi"/>
          <w:b/>
        </w:rPr>
      </w:pPr>
      <w:r w:rsidRPr="00DC157D">
        <w:rPr>
          <w:rFonts w:cstheme="minorHAnsi"/>
          <w:b/>
        </w:rPr>
        <w:lastRenderedPageBreak/>
        <w:t xml:space="preserve">Project 4: </w:t>
      </w:r>
      <w:r w:rsidR="00184F4A" w:rsidRPr="00DC157D">
        <w:rPr>
          <w:rFonts w:cstheme="minorHAnsi"/>
          <w:b/>
        </w:rPr>
        <w:t xml:space="preserve">Exploring the impact of protein quality and fibre on gut barrier function, </w:t>
      </w:r>
      <w:r w:rsidR="000E546D" w:rsidRPr="00DC157D">
        <w:rPr>
          <w:rFonts w:cstheme="minorHAnsi"/>
          <w:b/>
        </w:rPr>
        <w:t>inflammation,</w:t>
      </w:r>
      <w:r w:rsidR="00184F4A" w:rsidRPr="00DC157D">
        <w:rPr>
          <w:rFonts w:cstheme="minorHAnsi"/>
          <w:b/>
        </w:rPr>
        <w:t xml:space="preserve"> and body composition</w:t>
      </w:r>
    </w:p>
    <w:p w14:paraId="36C91F3B" w14:textId="2084BD9D" w:rsidR="00E810D3" w:rsidRPr="00DC157D" w:rsidRDefault="00DC7926" w:rsidP="00685D0F">
      <w:pPr>
        <w:jc w:val="both"/>
        <w:rPr>
          <w:rFonts w:cstheme="minorHAnsi"/>
        </w:rPr>
      </w:pPr>
      <w:r w:rsidRPr="00DC157D">
        <w:rPr>
          <w:rFonts w:cstheme="minorHAnsi"/>
        </w:rPr>
        <w:t>A d</w:t>
      </w:r>
      <w:r w:rsidR="00E810D3" w:rsidRPr="00DC157D">
        <w:rPr>
          <w:rFonts w:cstheme="minorHAnsi"/>
        </w:rPr>
        <w:t xml:space="preserve">ecline in gastrointestinal tract (GIT) barrier function is associated </w:t>
      </w:r>
      <w:r w:rsidRPr="00DC157D">
        <w:rPr>
          <w:rFonts w:cstheme="minorHAnsi"/>
        </w:rPr>
        <w:t xml:space="preserve">with </w:t>
      </w:r>
      <w:r w:rsidR="00E810D3" w:rsidRPr="00DC157D">
        <w:rPr>
          <w:rFonts w:cstheme="minorHAnsi"/>
        </w:rPr>
        <w:t>inflamm</w:t>
      </w:r>
      <w:r w:rsidRPr="00DC157D">
        <w:rPr>
          <w:rFonts w:cstheme="minorHAnsi"/>
        </w:rPr>
        <w:t>ation</w:t>
      </w:r>
      <w:r w:rsidR="00E810D3" w:rsidRPr="00DC157D">
        <w:rPr>
          <w:rFonts w:cstheme="minorHAnsi"/>
        </w:rPr>
        <w:t xml:space="preserve"> </w:t>
      </w:r>
      <w:r w:rsidRPr="00DC157D">
        <w:rPr>
          <w:rFonts w:cstheme="minorHAnsi"/>
        </w:rPr>
        <w:t xml:space="preserve">and inflammation </w:t>
      </w:r>
      <w:r w:rsidR="00E810D3" w:rsidRPr="00DC157D">
        <w:rPr>
          <w:rFonts w:cstheme="minorHAnsi"/>
        </w:rPr>
        <w:t>is a major driver that has a negative effect on muscle mass.  Decline in GIT barrier function and low</w:t>
      </w:r>
      <w:r w:rsidR="00F91AD4" w:rsidRPr="00DC157D">
        <w:rPr>
          <w:rFonts w:cstheme="minorHAnsi"/>
        </w:rPr>
        <w:t>-</w:t>
      </w:r>
      <w:r w:rsidR="00E810D3" w:rsidRPr="00DC157D">
        <w:rPr>
          <w:rFonts w:cstheme="minorHAnsi"/>
        </w:rPr>
        <w:t xml:space="preserve">grade inflammation are associated </w:t>
      </w:r>
      <w:r w:rsidR="001B6E68" w:rsidRPr="00DC157D">
        <w:rPr>
          <w:rFonts w:cstheme="minorHAnsi"/>
        </w:rPr>
        <w:t xml:space="preserve">with </w:t>
      </w:r>
      <w:r w:rsidR="00E810D3" w:rsidRPr="00DC157D">
        <w:rPr>
          <w:rFonts w:cstheme="minorHAnsi"/>
        </w:rPr>
        <w:t>ag</w:t>
      </w:r>
      <w:r w:rsidR="0026446F" w:rsidRPr="00DC157D">
        <w:rPr>
          <w:rFonts w:cstheme="minorHAnsi"/>
        </w:rPr>
        <w:t>e</w:t>
      </w:r>
      <w:r w:rsidR="00E810D3" w:rsidRPr="00DC157D">
        <w:rPr>
          <w:rFonts w:cstheme="minorHAnsi"/>
        </w:rPr>
        <w:t>ing</w:t>
      </w:r>
      <w:r w:rsidR="001B6E68" w:rsidRPr="00DC157D">
        <w:rPr>
          <w:rFonts w:cstheme="minorHAnsi"/>
        </w:rPr>
        <w:t xml:space="preserve"> in animal models but robust data in humans is lacking</w:t>
      </w:r>
      <w:r w:rsidR="00E810D3" w:rsidRPr="00DC157D">
        <w:rPr>
          <w:rFonts w:cstheme="minorHAnsi"/>
        </w:rPr>
        <w:t>.  Dietary protein and dietary fibre have been demonstrated to have an impact on GIT integrity.</w:t>
      </w:r>
    </w:p>
    <w:p w14:paraId="70148781" w14:textId="009AF59E" w:rsidR="008F2DC5" w:rsidRPr="00DC157D" w:rsidRDefault="001B6E68" w:rsidP="00685D0F">
      <w:pPr>
        <w:jc w:val="both"/>
        <w:rPr>
          <w:rFonts w:cstheme="minorHAnsi"/>
        </w:rPr>
      </w:pPr>
      <w:r w:rsidRPr="00DC157D">
        <w:rPr>
          <w:rFonts w:cstheme="minorHAnsi"/>
        </w:rPr>
        <w:t>The a</w:t>
      </w:r>
      <w:r w:rsidR="00D700BD" w:rsidRPr="00DC157D">
        <w:rPr>
          <w:rFonts w:cstheme="minorHAnsi"/>
        </w:rPr>
        <w:t xml:space="preserve">ims </w:t>
      </w:r>
      <w:r w:rsidRPr="00DC157D">
        <w:rPr>
          <w:rFonts w:cstheme="minorHAnsi"/>
        </w:rPr>
        <w:t xml:space="preserve">of this project are </w:t>
      </w:r>
      <w:r w:rsidR="00D700BD" w:rsidRPr="00DC157D">
        <w:rPr>
          <w:rFonts w:cstheme="minorHAnsi"/>
        </w:rPr>
        <w:t xml:space="preserve">to </w:t>
      </w:r>
      <w:r w:rsidR="000028C1" w:rsidRPr="00DC157D">
        <w:rPr>
          <w:rFonts w:cstheme="minorHAnsi"/>
        </w:rPr>
        <w:t>explor</w:t>
      </w:r>
      <w:r w:rsidR="00D700BD" w:rsidRPr="00DC157D">
        <w:rPr>
          <w:rFonts w:cstheme="minorHAnsi"/>
        </w:rPr>
        <w:t>e</w:t>
      </w:r>
      <w:r w:rsidR="000028C1" w:rsidRPr="00DC157D">
        <w:rPr>
          <w:rFonts w:cstheme="minorHAnsi"/>
        </w:rPr>
        <w:t xml:space="preserve"> the impact of protein quality and </w:t>
      </w:r>
      <w:r w:rsidR="004B10E2" w:rsidRPr="00DC157D">
        <w:rPr>
          <w:rFonts w:cstheme="minorHAnsi"/>
        </w:rPr>
        <w:t xml:space="preserve">dietary </w:t>
      </w:r>
      <w:r w:rsidR="000028C1" w:rsidRPr="00DC157D">
        <w:rPr>
          <w:rFonts w:cstheme="minorHAnsi"/>
        </w:rPr>
        <w:t>fibre on gut barrier function, inflammation</w:t>
      </w:r>
      <w:r w:rsidR="004B10E2" w:rsidRPr="00DC157D">
        <w:rPr>
          <w:rFonts w:cstheme="minorHAnsi"/>
        </w:rPr>
        <w:t>,</w:t>
      </w:r>
      <w:r w:rsidR="000028C1" w:rsidRPr="00DC157D">
        <w:rPr>
          <w:rFonts w:cstheme="minorHAnsi"/>
        </w:rPr>
        <w:t xml:space="preserve"> body composition</w:t>
      </w:r>
      <w:r w:rsidR="004B10E2" w:rsidRPr="00DC157D">
        <w:rPr>
          <w:rFonts w:cstheme="minorHAnsi"/>
        </w:rPr>
        <w:t xml:space="preserve"> and muscle function</w:t>
      </w:r>
      <w:r w:rsidR="000028C1" w:rsidRPr="00DC157D">
        <w:rPr>
          <w:rFonts w:cstheme="minorHAnsi"/>
        </w:rPr>
        <w:t xml:space="preserve">. The project will have </w:t>
      </w:r>
      <w:r w:rsidRPr="00DC157D">
        <w:rPr>
          <w:rFonts w:cstheme="minorHAnsi"/>
        </w:rPr>
        <w:t>three</w:t>
      </w:r>
      <w:r w:rsidR="000028C1" w:rsidRPr="00DC157D">
        <w:rPr>
          <w:rFonts w:cstheme="minorHAnsi"/>
        </w:rPr>
        <w:t xml:space="preserve"> stages. This project </w:t>
      </w:r>
      <w:r w:rsidRPr="00DC157D">
        <w:rPr>
          <w:rFonts w:cstheme="minorHAnsi"/>
        </w:rPr>
        <w:t xml:space="preserve">firstly </w:t>
      </w:r>
      <w:r w:rsidR="000028C1" w:rsidRPr="00DC157D">
        <w:rPr>
          <w:rFonts w:cstheme="minorHAnsi"/>
        </w:rPr>
        <w:t>aims to collaborate with industry partner</w:t>
      </w:r>
      <w:r w:rsidRPr="00DC157D">
        <w:rPr>
          <w:rFonts w:cstheme="minorHAnsi"/>
        </w:rPr>
        <w:t>s to develop biomarkers of biological age and gut barrier function</w:t>
      </w:r>
      <w:r w:rsidR="00D700BD" w:rsidRPr="00DC157D">
        <w:rPr>
          <w:rFonts w:cstheme="minorHAnsi"/>
        </w:rPr>
        <w:t xml:space="preserve">.  </w:t>
      </w:r>
      <w:r w:rsidRPr="00DC157D">
        <w:rPr>
          <w:rFonts w:cstheme="minorHAnsi"/>
        </w:rPr>
        <w:t xml:space="preserve">Secondly, to engage with </w:t>
      </w:r>
      <w:r w:rsidR="007262E6" w:rsidRPr="00DC157D">
        <w:rPr>
          <w:rFonts w:cstheme="minorHAnsi"/>
        </w:rPr>
        <w:t>the public to develop an understanding of acceptability of changes to protein sources (e.g. legume vs. animal based protein)</w:t>
      </w:r>
      <w:r w:rsidR="00737022" w:rsidRPr="00DC157D">
        <w:rPr>
          <w:rFonts w:cstheme="minorHAnsi"/>
        </w:rPr>
        <w:t xml:space="preserve">, Thirdly to bring together preliminary data </w:t>
      </w:r>
      <w:r w:rsidR="00134F94" w:rsidRPr="00DC157D">
        <w:rPr>
          <w:rFonts w:cstheme="minorHAnsi"/>
        </w:rPr>
        <w:t xml:space="preserve">with public and </w:t>
      </w:r>
      <w:r w:rsidR="00737022" w:rsidRPr="00DC157D">
        <w:rPr>
          <w:rFonts w:cstheme="minorHAnsi"/>
        </w:rPr>
        <w:t xml:space="preserve">stakeholder engagement to co-create a randomised control trial to test the effect </w:t>
      </w:r>
      <w:r w:rsidR="00F65CF3" w:rsidRPr="00DC157D">
        <w:rPr>
          <w:rFonts w:cstheme="minorHAnsi"/>
        </w:rPr>
        <w:t xml:space="preserve">of alternative sustainable protein sources and increased dietary fibre on age-related health outcomes. </w:t>
      </w:r>
    </w:p>
    <w:p w14:paraId="38E92B27" w14:textId="77777777" w:rsidR="000231A4" w:rsidRPr="00DC157D" w:rsidRDefault="000231A4" w:rsidP="00685D0F">
      <w:pPr>
        <w:jc w:val="both"/>
        <w:rPr>
          <w:rFonts w:cstheme="minorHAnsi"/>
        </w:rPr>
      </w:pPr>
    </w:p>
    <w:p w14:paraId="1934068C" w14:textId="279276ED" w:rsidR="00517AA2" w:rsidRPr="00DC157D" w:rsidRDefault="00952967" w:rsidP="00685D0F">
      <w:pPr>
        <w:jc w:val="both"/>
        <w:rPr>
          <w:rFonts w:cstheme="minorHAnsi"/>
        </w:rPr>
      </w:pPr>
      <w:r w:rsidRPr="00DC157D">
        <w:rPr>
          <w:rFonts w:cstheme="minorHAnsi"/>
        </w:rPr>
        <w:t xml:space="preserve">Each of these projects embraces interdisciplinary research as highlighted in figure </w:t>
      </w:r>
      <w:r w:rsidR="003C5E29" w:rsidRPr="00DC157D">
        <w:rPr>
          <w:rFonts w:cstheme="minorHAnsi"/>
        </w:rPr>
        <w:t xml:space="preserve">1 </w:t>
      </w:r>
      <w:r w:rsidRPr="00DC157D">
        <w:rPr>
          <w:rFonts w:cstheme="minorHAnsi"/>
        </w:rPr>
        <w:t>below to build holistic understand</w:t>
      </w:r>
      <w:r w:rsidR="0078057A" w:rsidRPr="00DC157D">
        <w:rPr>
          <w:rFonts w:cstheme="minorHAnsi"/>
        </w:rPr>
        <w:t>ing</w:t>
      </w:r>
      <w:r w:rsidRPr="00DC157D">
        <w:rPr>
          <w:rFonts w:cstheme="minorHAnsi"/>
        </w:rPr>
        <w:t xml:space="preserve"> to the research</w:t>
      </w:r>
    </w:p>
    <w:p w14:paraId="61E60E66" w14:textId="5CE5B257" w:rsidR="00952967" w:rsidRPr="00DC157D" w:rsidRDefault="00204D88" w:rsidP="00685D0F">
      <w:pPr>
        <w:jc w:val="both"/>
        <w:rPr>
          <w:rFonts w:cstheme="minorHAnsi"/>
        </w:rPr>
      </w:pPr>
      <w:r w:rsidRPr="00DC157D">
        <w:rPr>
          <w:rFonts w:eastAsia="Times New Roman" w:cstheme="minorHAnsi"/>
          <w:noProof/>
          <w:color w:val="000000" w:themeColor="text1"/>
          <w:lang w:eastAsia="en-GB"/>
        </w:rPr>
        <w:drawing>
          <wp:anchor distT="0" distB="0" distL="114300" distR="114300" simplePos="0" relativeHeight="251658240" behindDoc="0" locked="0" layoutInCell="1" allowOverlap="1" wp14:anchorId="4B6743F9" wp14:editId="7D4C5047">
            <wp:simplePos x="0" y="0"/>
            <wp:positionH relativeFrom="margin">
              <wp:posOffset>85090</wp:posOffset>
            </wp:positionH>
            <wp:positionV relativeFrom="paragraph">
              <wp:posOffset>44450</wp:posOffset>
            </wp:positionV>
            <wp:extent cx="5342890" cy="30035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890" cy="3003550"/>
                    </a:xfrm>
                    <a:prstGeom prst="rect">
                      <a:avLst/>
                    </a:prstGeom>
                    <a:noFill/>
                  </pic:spPr>
                </pic:pic>
              </a:graphicData>
            </a:graphic>
            <wp14:sizeRelH relativeFrom="margin">
              <wp14:pctWidth>0</wp14:pctWidth>
            </wp14:sizeRelH>
            <wp14:sizeRelV relativeFrom="margin">
              <wp14:pctHeight>0</wp14:pctHeight>
            </wp14:sizeRelV>
          </wp:anchor>
        </w:drawing>
      </w:r>
    </w:p>
    <w:p w14:paraId="1EE5D57C" w14:textId="77777777" w:rsidR="00204D88" w:rsidRPr="00DC157D" w:rsidRDefault="00204D88" w:rsidP="00685D0F">
      <w:pPr>
        <w:jc w:val="both"/>
        <w:rPr>
          <w:rFonts w:cstheme="minorHAnsi"/>
        </w:rPr>
      </w:pPr>
    </w:p>
    <w:p w14:paraId="76EBBF73" w14:textId="77777777" w:rsidR="00204D88" w:rsidRPr="00DC157D" w:rsidRDefault="00204D88" w:rsidP="00685D0F">
      <w:pPr>
        <w:jc w:val="both"/>
        <w:rPr>
          <w:rFonts w:cstheme="minorHAnsi"/>
        </w:rPr>
      </w:pPr>
    </w:p>
    <w:p w14:paraId="5EACCDB0" w14:textId="77777777" w:rsidR="00204D88" w:rsidRPr="00DC157D" w:rsidRDefault="00204D88" w:rsidP="00685D0F">
      <w:pPr>
        <w:jc w:val="both"/>
        <w:rPr>
          <w:rFonts w:cstheme="minorHAnsi"/>
        </w:rPr>
      </w:pPr>
    </w:p>
    <w:p w14:paraId="27C963C0" w14:textId="77777777" w:rsidR="00204D88" w:rsidRPr="00DC157D" w:rsidRDefault="00204D88" w:rsidP="00685D0F">
      <w:pPr>
        <w:jc w:val="both"/>
        <w:rPr>
          <w:rFonts w:cstheme="minorHAnsi"/>
        </w:rPr>
      </w:pPr>
    </w:p>
    <w:p w14:paraId="6C34F181" w14:textId="77777777" w:rsidR="00204D88" w:rsidRPr="00DC157D" w:rsidRDefault="00204D88" w:rsidP="00685D0F">
      <w:pPr>
        <w:jc w:val="both"/>
        <w:rPr>
          <w:rFonts w:cstheme="minorHAnsi"/>
        </w:rPr>
      </w:pPr>
    </w:p>
    <w:p w14:paraId="195E20CB" w14:textId="77777777" w:rsidR="00204D88" w:rsidRPr="00DC157D" w:rsidRDefault="00204D88" w:rsidP="00685D0F">
      <w:pPr>
        <w:jc w:val="both"/>
        <w:rPr>
          <w:rFonts w:cstheme="minorHAnsi"/>
        </w:rPr>
      </w:pPr>
    </w:p>
    <w:p w14:paraId="298A57C0" w14:textId="77777777" w:rsidR="00204D88" w:rsidRPr="00DC157D" w:rsidRDefault="00204D88" w:rsidP="00685D0F">
      <w:pPr>
        <w:jc w:val="both"/>
        <w:rPr>
          <w:rFonts w:cstheme="minorHAnsi"/>
        </w:rPr>
      </w:pPr>
    </w:p>
    <w:p w14:paraId="4DB2FBAD" w14:textId="77777777" w:rsidR="00204D88" w:rsidRPr="00DC157D" w:rsidRDefault="00204D88" w:rsidP="00685D0F">
      <w:pPr>
        <w:jc w:val="both"/>
        <w:rPr>
          <w:rFonts w:cstheme="minorHAnsi"/>
        </w:rPr>
      </w:pPr>
    </w:p>
    <w:p w14:paraId="24B64442" w14:textId="77777777" w:rsidR="00204D88" w:rsidRPr="00DC157D" w:rsidRDefault="00204D88" w:rsidP="00685D0F">
      <w:pPr>
        <w:jc w:val="both"/>
        <w:rPr>
          <w:rFonts w:cstheme="minorHAnsi"/>
        </w:rPr>
      </w:pPr>
    </w:p>
    <w:p w14:paraId="6C6B4E8B" w14:textId="77777777" w:rsidR="00204D88" w:rsidRPr="00DC157D" w:rsidRDefault="00204D88" w:rsidP="00685D0F">
      <w:pPr>
        <w:jc w:val="both"/>
        <w:rPr>
          <w:rFonts w:cstheme="minorHAnsi"/>
        </w:rPr>
      </w:pPr>
    </w:p>
    <w:p w14:paraId="54CAA402" w14:textId="77777777" w:rsidR="0026446F" w:rsidRPr="00DC157D" w:rsidRDefault="0026446F" w:rsidP="00685D0F">
      <w:pPr>
        <w:jc w:val="both"/>
        <w:rPr>
          <w:rFonts w:cstheme="minorHAnsi"/>
        </w:rPr>
      </w:pPr>
    </w:p>
    <w:p w14:paraId="68956DD7" w14:textId="40AEF69D" w:rsidR="002A1EF8" w:rsidRPr="00DC157D" w:rsidRDefault="0026446F" w:rsidP="430D6630">
      <w:pPr>
        <w:jc w:val="both"/>
      </w:pPr>
      <w:r w:rsidRPr="430D6630">
        <w:t>An overarching long term aim of all projects is to bring scientific evidence to influence and inform policy that will improve the health and wellbeing of older people.</w:t>
      </w:r>
      <w:r w:rsidR="00DC157D" w:rsidRPr="430D6630">
        <w:t xml:space="preserve"> </w:t>
      </w:r>
      <w:r w:rsidR="36CF953F" w:rsidRPr="430D6630">
        <w:t>A major component in all projects is the involvement of ECRs to stimulate t</w:t>
      </w:r>
      <w:r w:rsidR="386B65A0" w:rsidRPr="430D6630">
        <w:t xml:space="preserve">he next </w:t>
      </w:r>
      <w:r w:rsidR="0441A3E6" w:rsidRPr="430D6630">
        <w:t>g</w:t>
      </w:r>
      <w:r w:rsidR="386B65A0" w:rsidRPr="430D6630">
        <w:t>eneration</w:t>
      </w:r>
      <w:r w:rsidR="36CF953F" w:rsidRPr="430D6630">
        <w:t xml:space="preserve"> </w:t>
      </w:r>
      <w:r w:rsidR="2DFAD5E7" w:rsidRPr="430D6630">
        <w:t xml:space="preserve">of scientist in the field.  </w:t>
      </w:r>
    </w:p>
    <w:p w14:paraId="42838F18" w14:textId="2F577772" w:rsidR="00D700BD" w:rsidRPr="00DC157D" w:rsidRDefault="00D700BD" w:rsidP="00685D0F">
      <w:pPr>
        <w:jc w:val="both"/>
        <w:rPr>
          <w:rFonts w:cstheme="minorHAnsi"/>
          <w:b/>
          <w:bCs/>
        </w:rPr>
      </w:pPr>
      <w:r w:rsidRPr="00DC157D">
        <w:rPr>
          <w:rFonts w:cstheme="minorHAnsi"/>
          <w:b/>
          <w:bCs/>
        </w:rPr>
        <w:t>Summary</w:t>
      </w:r>
    </w:p>
    <w:p w14:paraId="60872044" w14:textId="7DAD9558" w:rsidR="0026446F" w:rsidRPr="00DC157D" w:rsidRDefault="0026446F" w:rsidP="00685D0F">
      <w:pPr>
        <w:jc w:val="both"/>
        <w:rPr>
          <w:rFonts w:eastAsia="Times New Roman" w:cstheme="minorHAnsi"/>
          <w:b/>
          <w:bCs/>
          <w:color w:val="000000" w:themeColor="text1"/>
          <w:lang w:eastAsia="en-GB"/>
        </w:rPr>
      </w:pPr>
      <w:r w:rsidRPr="00DC157D">
        <w:rPr>
          <w:rFonts w:cstheme="minorHAnsi"/>
        </w:rPr>
        <w:t xml:space="preserve">By building a new multi-disciplinary, multi-institutional research community, the AGENTS network will deliver new biological and social understanding to the field of ageing and </w:t>
      </w:r>
      <w:bookmarkStart w:id="0" w:name="_GoBack"/>
      <w:r w:rsidRPr="00DC157D">
        <w:rPr>
          <w:rFonts w:cstheme="minorHAnsi"/>
        </w:rPr>
        <w:t>nutrition</w:t>
      </w:r>
      <w:bookmarkEnd w:id="0"/>
      <w:r w:rsidRPr="00DC157D">
        <w:rPr>
          <w:rFonts w:cstheme="minorHAnsi"/>
        </w:rPr>
        <w:t xml:space="preserve"> sensing.  </w:t>
      </w:r>
      <w:r w:rsidRPr="00DC157D">
        <w:rPr>
          <w:rFonts w:eastAsia="Times New Roman" w:cstheme="minorHAnsi"/>
          <w:color w:val="000000" w:themeColor="text1"/>
          <w:lang w:eastAsia="en-GB"/>
        </w:rPr>
        <w:t xml:space="preserve">The AGENTS network believes that to </w:t>
      </w:r>
      <w:r w:rsidRPr="00DC157D">
        <w:rPr>
          <w:rFonts w:eastAsia="Times New Roman" w:cstheme="minorHAnsi"/>
          <w:b/>
          <w:bCs/>
          <w:color w:val="000000" w:themeColor="text1"/>
          <w:lang w:eastAsia="en-GB"/>
        </w:rPr>
        <w:t xml:space="preserve">advance understanding of human ageing and </w:t>
      </w:r>
      <w:r w:rsidR="00DC157D" w:rsidRPr="00DC157D">
        <w:rPr>
          <w:rFonts w:eastAsia="Times New Roman" w:cstheme="minorHAnsi"/>
          <w:b/>
          <w:bCs/>
          <w:color w:val="000000" w:themeColor="text1"/>
          <w:lang w:eastAsia="en-GB"/>
        </w:rPr>
        <w:t>health span</w:t>
      </w:r>
      <w:r w:rsidRPr="00DC157D">
        <w:rPr>
          <w:rFonts w:eastAsia="Times New Roman" w:cstheme="minorHAnsi"/>
          <w:b/>
          <w:bCs/>
          <w:color w:val="000000" w:themeColor="text1"/>
          <w:lang w:eastAsia="en-GB"/>
        </w:rPr>
        <w:t>, it is essential to pursue investigations at many length scales from single cell biology up to population science.  It is essential that this embraces interdisciplinary collaboration across biological and social science and includes the role of industry and civil society.</w:t>
      </w:r>
    </w:p>
    <w:p w14:paraId="7D323901" w14:textId="09A371D0" w:rsidR="00D700BD" w:rsidRPr="00DC157D" w:rsidRDefault="00D700BD" w:rsidP="00685D0F">
      <w:pPr>
        <w:jc w:val="both"/>
        <w:rPr>
          <w:rFonts w:cstheme="minorHAnsi"/>
        </w:rPr>
      </w:pPr>
    </w:p>
    <w:p w14:paraId="5E51E5BE" w14:textId="39566026" w:rsidR="00F1790C" w:rsidRPr="00DC157D" w:rsidRDefault="00F1790C" w:rsidP="00685D0F">
      <w:pPr>
        <w:jc w:val="both"/>
        <w:rPr>
          <w:rFonts w:cstheme="minorHAnsi"/>
        </w:rPr>
      </w:pPr>
      <w:r w:rsidRPr="00DC157D">
        <w:rPr>
          <w:rFonts w:cstheme="minorHAnsi"/>
        </w:rPr>
        <w:lastRenderedPageBreak/>
        <w:t>References</w:t>
      </w:r>
    </w:p>
    <w:p w14:paraId="62A05EE2" w14:textId="6721FFAD" w:rsidR="00F1790C" w:rsidRPr="00DC157D" w:rsidRDefault="00F1790C" w:rsidP="00685D0F">
      <w:pPr>
        <w:widowControl w:val="0"/>
        <w:autoSpaceDE w:val="0"/>
        <w:autoSpaceDN w:val="0"/>
        <w:adjustRightInd w:val="0"/>
        <w:spacing w:line="240" w:lineRule="auto"/>
        <w:ind w:left="640" w:hanging="640"/>
        <w:jc w:val="both"/>
        <w:rPr>
          <w:rFonts w:cstheme="minorHAnsi"/>
          <w:noProof/>
          <w:szCs w:val="24"/>
        </w:rPr>
      </w:pPr>
      <w:r w:rsidRPr="00DC157D">
        <w:rPr>
          <w:rFonts w:cstheme="minorHAnsi"/>
        </w:rPr>
        <w:fldChar w:fldCharType="begin" w:fldLock="1"/>
      </w:r>
      <w:r w:rsidRPr="00DC157D">
        <w:rPr>
          <w:rFonts w:cstheme="minorHAnsi"/>
        </w:rPr>
        <w:instrText xml:space="preserve">ADDIN Mendeley Bibliography CSL_BIBLIOGRAPHY </w:instrText>
      </w:r>
      <w:r w:rsidRPr="00DC157D">
        <w:rPr>
          <w:rFonts w:cstheme="minorHAnsi"/>
        </w:rPr>
        <w:fldChar w:fldCharType="separate"/>
      </w:r>
      <w:r w:rsidRPr="00DC157D">
        <w:rPr>
          <w:rFonts w:cstheme="minorHAnsi"/>
          <w:noProof/>
          <w:szCs w:val="24"/>
        </w:rPr>
        <w:t xml:space="preserve">1. </w:t>
      </w:r>
      <w:r w:rsidRPr="00DC157D">
        <w:rPr>
          <w:rFonts w:cstheme="minorHAnsi"/>
          <w:noProof/>
          <w:szCs w:val="24"/>
        </w:rPr>
        <w:tab/>
        <w:t>Lowsky DJ, Olshansky SJ, Bhattacharya J, Goldman DP. Heterogeneity in Healthy Aging. Journals Gerontol Ser A [Internet] Oxford Academic; 2014 [cited 2021 Oct 13];69:640–9. Available from: https://academic.oup.com/biomedgerontology/article/69/6/640/528242</w:t>
      </w:r>
    </w:p>
    <w:p w14:paraId="3D64F552" w14:textId="77777777" w:rsidR="00F1790C" w:rsidRPr="00DC157D" w:rsidRDefault="00F1790C" w:rsidP="00685D0F">
      <w:pPr>
        <w:widowControl w:val="0"/>
        <w:autoSpaceDE w:val="0"/>
        <w:autoSpaceDN w:val="0"/>
        <w:adjustRightInd w:val="0"/>
        <w:spacing w:line="240" w:lineRule="auto"/>
        <w:ind w:left="640" w:hanging="640"/>
        <w:jc w:val="both"/>
        <w:rPr>
          <w:rFonts w:cstheme="minorHAnsi"/>
          <w:noProof/>
          <w:szCs w:val="24"/>
        </w:rPr>
      </w:pPr>
      <w:r w:rsidRPr="00DC157D">
        <w:rPr>
          <w:rFonts w:cstheme="minorHAnsi"/>
          <w:noProof/>
          <w:szCs w:val="24"/>
        </w:rPr>
        <w:t xml:space="preserve">2. </w:t>
      </w:r>
      <w:r w:rsidRPr="00DC157D">
        <w:rPr>
          <w:rFonts w:cstheme="minorHAnsi"/>
          <w:noProof/>
          <w:szCs w:val="24"/>
        </w:rPr>
        <w:tab/>
        <w:t>López-Otín C, Blasco MA, Partridge L, Serrano M, Kroemer G. The Hallmarks of Aging. Cell [Internet] Europe PMC Funders; 2013 [cited 2021 Oct 13];153:1194. Available from: /pmc/articles/PMC3836174/</w:t>
      </w:r>
    </w:p>
    <w:p w14:paraId="65240FDF" w14:textId="77777777" w:rsidR="00F1790C" w:rsidRPr="00DC157D" w:rsidRDefault="00F1790C" w:rsidP="00685D0F">
      <w:pPr>
        <w:widowControl w:val="0"/>
        <w:autoSpaceDE w:val="0"/>
        <w:autoSpaceDN w:val="0"/>
        <w:adjustRightInd w:val="0"/>
        <w:spacing w:line="240" w:lineRule="auto"/>
        <w:ind w:left="640" w:hanging="640"/>
        <w:jc w:val="both"/>
        <w:rPr>
          <w:rFonts w:cstheme="minorHAnsi"/>
          <w:noProof/>
          <w:szCs w:val="24"/>
        </w:rPr>
      </w:pPr>
      <w:r w:rsidRPr="00DC157D">
        <w:rPr>
          <w:rFonts w:cstheme="minorHAnsi"/>
          <w:noProof/>
          <w:szCs w:val="24"/>
        </w:rPr>
        <w:t xml:space="preserve">3. </w:t>
      </w:r>
      <w:r w:rsidRPr="00DC157D">
        <w:rPr>
          <w:rFonts w:cstheme="minorHAnsi"/>
          <w:noProof/>
          <w:szCs w:val="24"/>
        </w:rPr>
        <w:tab/>
        <w:t>Fontana L. Excessive adiposity, calorie restriction, and aging. JAMA [Internet] 2006 [cited 2014 Jun 6];295:1577–8. Available from: http://www.ncbi.nlm.nih.gov/pubmed/16595760</w:t>
      </w:r>
    </w:p>
    <w:p w14:paraId="3381C9FC" w14:textId="77777777" w:rsidR="00F1790C" w:rsidRPr="00DC157D" w:rsidRDefault="00F1790C" w:rsidP="00685D0F">
      <w:pPr>
        <w:widowControl w:val="0"/>
        <w:autoSpaceDE w:val="0"/>
        <w:autoSpaceDN w:val="0"/>
        <w:adjustRightInd w:val="0"/>
        <w:spacing w:line="240" w:lineRule="auto"/>
        <w:ind w:left="640" w:hanging="640"/>
        <w:jc w:val="both"/>
        <w:rPr>
          <w:rFonts w:cstheme="minorHAnsi"/>
          <w:noProof/>
          <w:szCs w:val="24"/>
        </w:rPr>
      </w:pPr>
      <w:r w:rsidRPr="00DC157D">
        <w:rPr>
          <w:rFonts w:cstheme="minorHAnsi"/>
          <w:noProof/>
          <w:szCs w:val="24"/>
        </w:rPr>
        <w:t xml:space="preserve">4. </w:t>
      </w:r>
      <w:r w:rsidRPr="00DC157D">
        <w:rPr>
          <w:rFonts w:cstheme="minorHAnsi"/>
          <w:noProof/>
          <w:szCs w:val="24"/>
        </w:rPr>
        <w:tab/>
        <w:t>Rodríguez-Rodero S, Fernández-Morera JL, Menéndez-Torre E, Calvanese V, Fernández AF, Fraga MF. Aging Genetics and Aging. Aging Dis [Internet] JKL International LLC; 2011 [cited 2021 Oct 13];2:186. Available from: /pmc/articles/PMC3295054/</w:t>
      </w:r>
    </w:p>
    <w:p w14:paraId="152E9893" w14:textId="77777777" w:rsidR="00F1790C" w:rsidRPr="00DC157D" w:rsidRDefault="00F1790C" w:rsidP="00685D0F">
      <w:pPr>
        <w:widowControl w:val="0"/>
        <w:autoSpaceDE w:val="0"/>
        <w:autoSpaceDN w:val="0"/>
        <w:adjustRightInd w:val="0"/>
        <w:spacing w:line="240" w:lineRule="auto"/>
        <w:ind w:left="640" w:hanging="640"/>
        <w:jc w:val="both"/>
        <w:rPr>
          <w:rFonts w:cstheme="minorHAnsi"/>
          <w:noProof/>
        </w:rPr>
      </w:pPr>
      <w:r w:rsidRPr="00DC157D">
        <w:rPr>
          <w:rFonts w:cstheme="minorHAnsi"/>
          <w:noProof/>
          <w:szCs w:val="24"/>
        </w:rPr>
        <w:t xml:space="preserve">5. </w:t>
      </w:r>
      <w:r w:rsidRPr="00DC157D">
        <w:rPr>
          <w:rFonts w:cstheme="minorHAnsi"/>
          <w:noProof/>
          <w:szCs w:val="24"/>
        </w:rPr>
        <w:tab/>
        <w:t>Westendorp RG. What is healthy aging in the 21st century? Am J Clin Nutr [Internet] Oxford Academic; 2006 [cited 2021 Oct 13];83:404S-409S. Available from: https://academic.oup.com/ajcn/article/83/2/404S/4650087</w:t>
      </w:r>
    </w:p>
    <w:p w14:paraId="41B36546" w14:textId="7A7FB4F8" w:rsidR="00F1790C" w:rsidRPr="00DC157D" w:rsidRDefault="00F1790C" w:rsidP="00685D0F">
      <w:pPr>
        <w:jc w:val="both"/>
        <w:rPr>
          <w:rFonts w:cstheme="minorHAnsi"/>
        </w:rPr>
      </w:pPr>
      <w:r w:rsidRPr="00DC157D">
        <w:rPr>
          <w:rFonts w:cstheme="minorHAnsi"/>
        </w:rPr>
        <w:fldChar w:fldCharType="end"/>
      </w:r>
    </w:p>
    <w:p w14:paraId="743AE321" w14:textId="3215C609" w:rsidR="00D700BD" w:rsidRPr="00DC157D" w:rsidRDefault="00D700BD" w:rsidP="00685D0F">
      <w:pPr>
        <w:jc w:val="both"/>
        <w:rPr>
          <w:rFonts w:cstheme="minorHAnsi"/>
        </w:rPr>
      </w:pPr>
    </w:p>
    <w:sectPr w:rsidR="00D700BD" w:rsidRPr="00DC157D" w:rsidSect="00793A6D">
      <w:headerReference w:type="default" r:id="rId12"/>
      <w:pgSz w:w="11906" w:h="16838"/>
      <w:pgMar w:top="1134" w:right="1134" w:bottom="1134" w:left="1134"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8E2C2A" w16cex:dateUtc="2023-02-08T14:11:00Z"/>
  <w16cex:commentExtensible w16cex:durableId="278E2D36" w16cex:dateUtc="2023-02-08T14:16:00Z"/>
</w16cex:commentsExtensible>
</file>

<file path=word/commentsIds.xml><?xml version="1.0" encoding="utf-8"?>
<w16cid:commentsIds xmlns:mc="http://schemas.openxmlformats.org/markup-compatibility/2006" xmlns:w16cid="http://schemas.microsoft.com/office/word/2016/wordml/cid" mc:Ignorable="w16cid">
  <w16cid:commentId w16cid:paraId="5E90D471" w16cid:durableId="278E2C2A"/>
  <w16cid:commentId w16cid:paraId="76783DDC" w16cid:durableId="278E2D36"/>
  <w16cid:commentId w16cid:paraId="3FC41700" w16cid:durableId="25B0E01F"/>
  <w16cid:commentId w16cid:paraId="0C1F8E34" w16cid:durableId="100F0AD7"/>
  <w16cid:commentId w16cid:paraId="319F2B12" w16cid:durableId="265209BD"/>
  <w16cid:commentId w16cid:paraId="6C0CC63C" w16cid:durableId="54EF7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F291D" w14:textId="77777777" w:rsidR="001B7D65" w:rsidRDefault="001B7D65" w:rsidP="00002F83">
      <w:pPr>
        <w:spacing w:after="0" w:line="240" w:lineRule="auto"/>
      </w:pPr>
      <w:r>
        <w:separator/>
      </w:r>
    </w:p>
  </w:endnote>
  <w:endnote w:type="continuationSeparator" w:id="0">
    <w:p w14:paraId="3216CDED" w14:textId="77777777" w:rsidR="001B7D65" w:rsidRDefault="001B7D65" w:rsidP="0000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55AE" w14:textId="77777777" w:rsidR="001B7D65" w:rsidRDefault="001B7D65" w:rsidP="00002F83">
      <w:pPr>
        <w:spacing w:after="0" w:line="240" w:lineRule="auto"/>
      </w:pPr>
      <w:r>
        <w:separator/>
      </w:r>
    </w:p>
  </w:footnote>
  <w:footnote w:type="continuationSeparator" w:id="0">
    <w:p w14:paraId="3031720C" w14:textId="77777777" w:rsidR="001B7D65" w:rsidRDefault="001B7D65" w:rsidP="00002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C1152" w14:textId="74CBCFD2" w:rsidR="00002F83" w:rsidRDefault="00002F83">
    <w:pPr>
      <w:pStyle w:val="Header"/>
    </w:pPr>
    <w:r w:rsidRPr="0077353B">
      <w:rPr>
        <w:rFonts w:ascii="Arial" w:eastAsia="Times New Roman" w:hAnsi="Arial" w:cs="Arial"/>
        <w:b/>
        <w:bCs/>
        <w:noProof/>
        <w:color w:val="000000" w:themeColor="text1"/>
        <w:lang w:eastAsia="en-GB"/>
      </w:rPr>
      <w:drawing>
        <wp:anchor distT="0" distB="0" distL="114300" distR="114300" simplePos="0" relativeHeight="251661312" behindDoc="1" locked="0" layoutInCell="1" allowOverlap="1" wp14:anchorId="7CEE3494" wp14:editId="1C1912AC">
          <wp:simplePos x="0" y="0"/>
          <wp:positionH relativeFrom="column">
            <wp:posOffset>5312220</wp:posOffset>
          </wp:positionH>
          <wp:positionV relativeFrom="paragraph">
            <wp:posOffset>-306857</wp:posOffset>
          </wp:positionV>
          <wp:extent cx="600075" cy="565785"/>
          <wp:effectExtent l="0" t="0" r="9525" b="5715"/>
          <wp:wrapSquare wrapText="bothSides"/>
          <wp:docPr id="6" name="Picture 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5F78">
      <w:rPr>
        <w:rFonts w:ascii="Arial" w:hAnsi="Arial" w:cs="Arial"/>
        <w:noProof/>
        <w:lang w:eastAsia="en-GB"/>
      </w:rPr>
      <w:drawing>
        <wp:anchor distT="0" distB="0" distL="114300" distR="114300" simplePos="0" relativeHeight="251659264" behindDoc="0" locked="0" layoutInCell="1" allowOverlap="1" wp14:anchorId="20959E4C" wp14:editId="4E9A130F">
          <wp:simplePos x="0" y="0"/>
          <wp:positionH relativeFrom="margin">
            <wp:align>left</wp:align>
          </wp:positionH>
          <wp:positionV relativeFrom="paragraph">
            <wp:posOffset>-306705</wp:posOffset>
          </wp:positionV>
          <wp:extent cx="1371600" cy="470535"/>
          <wp:effectExtent l="0" t="0" r="0" b="5715"/>
          <wp:wrapSquare wrapText="bothSides"/>
          <wp:docPr id="5"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47053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E7FA1"/>
    <w:multiLevelType w:val="hybridMultilevel"/>
    <w:tmpl w:val="848EA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6B5CC1"/>
    <w:multiLevelType w:val="hybridMultilevel"/>
    <w:tmpl w:val="E5825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BD"/>
    <w:rsid w:val="000028C1"/>
    <w:rsid w:val="00002F83"/>
    <w:rsid w:val="000231A4"/>
    <w:rsid w:val="00036B3F"/>
    <w:rsid w:val="000625D2"/>
    <w:rsid w:val="00090A65"/>
    <w:rsid w:val="000C326D"/>
    <w:rsid w:val="000E546D"/>
    <w:rsid w:val="000E7895"/>
    <w:rsid w:val="0011101A"/>
    <w:rsid w:val="0012696B"/>
    <w:rsid w:val="00134F94"/>
    <w:rsid w:val="0013697E"/>
    <w:rsid w:val="00143156"/>
    <w:rsid w:val="001462BB"/>
    <w:rsid w:val="00182093"/>
    <w:rsid w:val="00184F4A"/>
    <w:rsid w:val="001960A8"/>
    <w:rsid w:val="001B4B88"/>
    <w:rsid w:val="001B6E68"/>
    <w:rsid w:val="001B7A2A"/>
    <w:rsid w:val="001B7D65"/>
    <w:rsid w:val="001E5F78"/>
    <w:rsid w:val="00204D88"/>
    <w:rsid w:val="0026446F"/>
    <w:rsid w:val="00284C34"/>
    <w:rsid w:val="00285271"/>
    <w:rsid w:val="002A1EF8"/>
    <w:rsid w:val="002D41C0"/>
    <w:rsid w:val="003128CC"/>
    <w:rsid w:val="00324E52"/>
    <w:rsid w:val="0036193E"/>
    <w:rsid w:val="00394E3F"/>
    <w:rsid w:val="003C5E29"/>
    <w:rsid w:val="003D5985"/>
    <w:rsid w:val="003E3E81"/>
    <w:rsid w:val="003F15BD"/>
    <w:rsid w:val="004363CD"/>
    <w:rsid w:val="004B10E2"/>
    <w:rsid w:val="004C2F8C"/>
    <w:rsid w:val="00517AA2"/>
    <w:rsid w:val="0052012C"/>
    <w:rsid w:val="00536DCB"/>
    <w:rsid w:val="006233E7"/>
    <w:rsid w:val="0066540A"/>
    <w:rsid w:val="00685D0F"/>
    <w:rsid w:val="006E39EF"/>
    <w:rsid w:val="00703F4A"/>
    <w:rsid w:val="007168E0"/>
    <w:rsid w:val="007262E6"/>
    <w:rsid w:val="00737022"/>
    <w:rsid w:val="0077353B"/>
    <w:rsid w:val="0078057A"/>
    <w:rsid w:val="00791B13"/>
    <w:rsid w:val="00793A6D"/>
    <w:rsid w:val="00831347"/>
    <w:rsid w:val="00853260"/>
    <w:rsid w:val="00896926"/>
    <w:rsid w:val="008F2DC5"/>
    <w:rsid w:val="009149E0"/>
    <w:rsid w:val="00930026"/>
    <w:rsid w:val="00952967"/>
    <w:rsid w:val="00987B3B"/>
    <w:rsid w:val="009B2F62"/>
    <w:rsid w:val="009D7700"/>
    <w:rsid w:val="00A50BC1"/>
    <w:rsid w:val="00A55FC2"/>
    <w:rsid w:val="00A7441D"/>
    <w:rsid w:val="00AB6213"/>
    <w:rsid w:val="00AF5F6B"/>
    <w:rsid w:val="00B04F0B"/>
    <w:rsid w:val="00B1701F"/>
    <w:rsid w:val="00B222CC"/>
    <w:rsid w:val="00BA652E"/>
    <w:rsid w:val="00BD1131"/>
    <w:rsid w:val="00BF0C90"/>
    <w:rsid w:val="00BF5ABD"/>
    <w:rsid w:val="00C05360"/>
    <w:rsid w:val="00C94284"/>
    <w:rsid w:val="00CD007C"/>
    <w:rsid w:val="00CF1223"/>
    <w:rsid w:val="00D072D7"/>
    <w:rsid w:val="00D300B7"/>
    <w:rsid w:val="00D700BD"/>
    <w:rsid w:val="00D911C1"/>
    <w:rsid w:val="00D914A9"/>
    <w:rsid w:val="00D91B39"/>
    <w:rsid w:val="00DC157D"/>
    <w:rsid w:val="00DC7926"/>
    <w:rsid w:val="00DE22A0"/>
    <w:rsid w:val="00E06769"/>
    <w:rsid w:val="00E131E7"/>
    <w:rsid w:val="00E810D3"/>
    <w:rsid w:val="00F1790C"/>
    <w:rsid w:val="00F65CF3"/>
    <w:rsid w:val="00F91AD4"/>
    <w:rsid w:val="00FC113D"/>
    <w:rsid w:val="0441A3E6"/>
    <w:rsid w:val="24EF314D"/>
    <w:rsid w:val="2DFAD5E7"/>
    <w:rsid w:val="33DCEB6C"/>
    <w:rsid w:val="36CF953F"/>
    <w:rsid w:val="386B65A0"/>
    <w:rsid w:val="430D66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D24B"/>
  <w15:chartTrackingRefBased/>
  <w15:docId w15:val="{51CA635E-AAE1-4752-A844-55C13354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D7"/>
    <w:pPr>
      <w:ind w:left="720"/>
      <w:contextualSpacing/>
    </w:pPr>
  </w:style>
  <w:style w:type="paragraph" w:styleId="NormalWeb">
    <w:name w:val="Normal (Web)"/>
    <w:basedOn w:val="Normal"/>
    <w:uiPriority w:val="99"/>
    <w:semiHidden/>
    <w:unhideWhenUsed/>
    <w:rsid w:val="006233E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625D2"/>
    <w:pPr>
      <w:spacing w:after="0" w:line="240" w:lineRule="auto"/>
    </w:pPr>
  </w:style>
  <w:style w:type="character" w:styleId="CommentReference">
    <w:name w:val="annotation reference"/>
    <w:basedOn w:val="DefaultParagraphFont"/>
    <w:uiPriority w:val="99"/>
    <w:semiHidden/>
    <w:unhideWhenUsed/>
    <w:rsid w:val="000625D2"/>
    <w:rPr>
      <w:sz w:val="16"/>
      <w:szCs w:val="16"/>
    </w:rPr>
  </w:style>
  <w:style w:type="paragraph" w:styleId="CommentText">
    <w:name w:val="annotation text"/>
    <w:basedOn w:val="Normal"/>
    <w:link w:val="CommentTextChar"/>
    <w:uiPriority w:val="99"/>
    <w:unhideWhenUsed/>
    <w:rsid w:val="000625D2"/>
    <w:pPr>
      <w:spacing w:line="240" w:lineRule="auto"/>
    </w:pPr>
    <w:rPr>
      <w:sz w:val="20"/>
      <w:szCs w:val="20"/>
    </w:rPr>
  </w:style>
  <w:style w:type="character" w:customStyle="1" w:styleId="CommentTextChar">
    <w:name w:val="Comment Text Char"/>
    <w:basedOn w:val="DefaultParagraphFont"/>
    <w:link w:val="CommentText"/>
    <w:uiPriority w:val="99"/>
    <w:rsid w:val="000625D2"/>
    <w:rPr>
      <w:sz w:val="20"/>
      <w:szCs w:val="20"/>
    </w:rPr>
  </w:style>
  <w:style w:type="paragraph" w:styleId="CommentSubject">
    <w:name w:val="annotation subject"/>
    <w:basedOn w:val="CommentText"/>
    <w:next w:val="CommentText"/>
    <w:link w:val="CommentSubjectChar"/>
    <w:uiPriority w:val="99"/>
    <w:semiHidden/>
    <w:unhideWhenUsed/>
    <w:rsid w:val="000625D2"/>
    <w:rPr>
      <w:b/>
      <w:bCs/>
    </w:rPr>
  </w:style>
  <w:style w:type="character" w:customStyle="1" w:styleId="CommentSubjectChar">
    <w:name w:val="Comment Subject Char"/>
    <w:basedOn w:val="CommentTextChar"/>
    <w:link w:val="CommentSubject"/>
    <w:uiPriority w:val="99"/>
    <w:semiHidden/>
    <w:rsid w:val="000625D2"/>
    <w:rPr>
      <w:b/>
      <w:bCs/>
      <w:sz w:val="20"/>
      <w:szCs w:val="20"/>
    </w:rPr>
  </w:style>
  <w:style w:type="paragraph" w:styleId="BalloonText">
    <w:name w:val="Balloon Text"/>
    <w:basedOn w:val="Normal"/>
    <w:link w:val="BalloonTextChar"/>
    <w:uiPriority w:val="99"/>
    <w:semiHidden/>
    <w:unhideWhenUsed/>
    <w:rsid w:val="00196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0A8"/>
    <w:rPr>
      <w:rFonts w:ascii="Segoe UI" w:hAnsi="Segoe UI" w:cs="Segoe UI"/>
      <w:sz w:val="18"/>
      <w:szCs w:val="18"/>
    </w:rPr>
  </w:style>
  <w:style w:type="character" w:styleId="Hyperlink">
    <w:name w:val="Hyperlink"/>
    <w:basedOn w:val="DefaultParagraphFont"/>
    <w:uiPriority w:val="99"/>
    <w:unhideWhenUsed/>
    <w:rsid w:val="001B7A2A"/>
    <w:rPr>
      <w:color w:val="0563C1" w:themeColor="hyperlink"/>
      <w:u w:val="single"/>
    </w:rPr>
  </w:style>
  <w:style w:type="character" w:customStyle="1" w:styleId="UnresolvedMention1">
    <w:name w:val="Unresolved Mention1"/>
    <w:basedOn w:val="DefaultParagraphFont"/>
    <w:uiPriority w:val="99"/>
    <w:semiHidden/>
    <w:unhideWhenUsed/>
    <w:rsid w:val="001B7A2A"/>
    <w:rPr>
      <w:color w:val="605E5C"/>
      <w:shd w:val="clear" w:color="auto" w:fill="E1DFDD"/>
    </w:rPr>
  </w:style>
  <w:style w:type="paragraph" w:styleId="Header">
    <w:name w:val="header"/>
    <w:basedOn w:val="Normal"/>
    <w:link w:val="HeaderChar"/>
    <w:uiPriority w:val="99"/>
    <w:unhideWhenUsed/>
    <w:rsid w:val="00002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83"/>
  </w:style>
  <w:style w:type="paragraph" w:styleId="Footer">
    <w:name w:val="footer"/>
    <w:basedOn w:val="Normal"/>
    <w:link w:val="FooterChar"/>
    <w:uiPriority w:val="99"/>
    <w:unhideWhenUsed/>
    <w:rsid w:val="00002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6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AA16D818BCA4C9F3B7CD479C589EA" ma:contentTypeVersion="15" ma:contentTypeDescription="Create a new document." ma:contentTypeScope="" ma:versionID="fe553132b6ee55ec450ce35a11cbafd2">
  <xsd:schema xmlns:xsd="http://www.w3.org/2001/XMLSchema" xmlns:xs="http://www.w3.org/2001/XMLSchema" xmlns:p="http://schemas.microsoft.com/office/2006/metadata/properties" xmlns:ns3="51c2a674-89ee-4e3b-bf22-df335e608542" xmlns:ns4="6401843a-8865-425e-86ca-22ed9e456d58" targetNamespace="http://schemas.microsoft.com/office/2006/metadata/properties" ma:root="true" ma:fieldsID="39deddc6ec9be6e3fa2852cfcd147574" ns3:_="" ns4:_="">
    <xsd:import namespace="51c2a674-89ee-4e3b-bf22-df335e608542"/>
    <xsd:import namespace="6401843a-8865-425e-86ca-22ed9e456d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2a674-89ee-4e3b-bf22-df335e6085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1843a-8865-425e-86ca-22ed9e456d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401843a-8865-425e-86ca-22ed9e456d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3591-A04E-4087-912A-BCFA75DC950F}">
  <ds:schemaRefs>
    <ds:schemaRef ds:uri="http://schemas.microsoft.com/sharepoint/v3/contenttype/forms"/>
  </ds:schemaRefs>
</ds:datastoreItem>
</file>

<file path=customXml/itemProps2.xml><?xml version="1.0" encoding="utf-8"?>
<ds:datastoreItem xmlns:ds="http://schemas.openxmlformats.org/officeDocument/2006/customXml" ds:itemID="{04C8708C-B641-4371-A725-F4114A76E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2a674-89ee-4e3b-bf22-df335e608542"/>
    <ds:schemaRef ds:uri="6401843a-8865-425e-86ca-22ed9e456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DD69E-5D46-4986-9FB6-EEA0153F037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1c2a674-89ee-4e3b-bf22-df335e608542"/>
    <ds:schemaRef ds:uri="http://schemas.openxmlformats.org/package/2006/metadata/core-properties"/>
    <ds:schemaRef ds:uri="6401843a-8865-425e-86ca-22ed9e456d58"/>
    <ds:schemaRef ds:uri="http://www.w3.org/XML/1998/namespace"/>
  </ds:schemaRefs>
</ds:datastoreItem>
</file>

<file path=customXml/itemProps4.xml><?xml version="1.0" encoding="utf-8"?>
<ds:datastoreItem xmlns:ds="http://schemas.openxmlformats.org/officeDocument/2006/customXml" ds:itemID="{1A415510-7F09-419D-B30D-9ED8ECFE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3122</Words>
  <Characters>17798</Characters>
  <Application>Microsoft Office Word</Application>
  <DocSecurity>0</DocSecurity>
  <Lines>148</Lines>
  <Paragraphs>41</Paragraphs>
  <ScaleCrop>false</ScaleCrop>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Gary</dc:creator>
  <cp:keywords/>
  <dc:description/>
  <cp:lastModifiedBy>Dagbasi, Aygul</cp:lastModifiedBy>
  <cp:revision>5</cp:revision>
  <dcterms:created xsi:type="dcterms:W3CDTF">2023-02-10T16:16:00Z</dcterms:created>
  <dcterms:modified xsi:type="dcterms:W3CDTF">2023-02-17T13:15:00Z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89fc06a4-cb87-3ffe-b0e6-9496e0e2c665</vt:lpwstr>
  </property>
  <property fmtid="{D5CDD505-2E9C-101B-9397-08002B2CF9AE}" pid="4" name="Mendeley Citation Style_1">
    <vt:lpwstr>http://www.zotero.org/styles/the-american-journal-of-clinical-nutrition</vt:lpwstr>
  </property>
  <property fmtid="{D5CDD505-2E9C-101B-9397-08002B2CF9AE}" pid="5" name="ContentTypeId">
    <vt:lpwstr>0x0101007B8AA16D818BCA4C9F3B7CD479C589EA</vt:lpwstr>
  </property>
</Properties>
</file>