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EA4B98" w14:textId="77777777" w:rsidR="00BD6A12" w:rsidRPr="00BD6A12" w:rsidRDefault="00BD6A12" w:rsidP="00BD6A12">
      <w:pPr>
        <w:jc w:val="center"/>
        <w:rPr>
          <w:b/>
          <w:u w:val="single"/>
        </w:rPr>
      </w:pPr>
      <w:bookmarkStart w:id="0" w:name="_GoBack"/>
      <w:bookmarkEnd w:id="0"/>
      <w:r w:rsidRPr="00BD6A12">
        <w:rPr>
          <w:b/>
          <w:u w:val="single"/>
        </w:rPr>
        <w:t>December 2014 RISK ANALYSIS</w:t>
      </w:r>
    </w:p>
    <w:p w14:paraId="0C62E395" w14:textId="77777777" w:rsidR="000F08BA" w:rsidRPr="00010C57" w:rsidRDefault="000F08BA">
      <w:pPr>
        <w:rPr>
          <w:sz w:val="16"/>
          <w:szCs w:val="16"/>
        </w:rPr>
      </w:pPr>
    </w:p>
    <w:p w14:paraId="48C18B0B" w14:textId="77777777" w:rsidR="000F08BA" w:rsidRPr="00E00C66" w:rsidRDefault="000F08BA" w:rsidP="00010C57">
      <w:pPr>
        <w:rPr>
          <w:u w:val="single"/>
        </w:rPr>
      </w:pPr>
      <w:r w:rsidRPr="00E00C66">
        <w:rPr>
          <w:u w:val="single"/>
        </w:rPr>
        <w:t>Contents:</w:t>
      </w:r>
    </w:p>
    <w:p w14:paraId="43FFFC83" w14:textId="77777777" w:rsidR="008C2705" w:rsidRDefault="000F08BA" w:rsidP="00010C57">
      <w:pPr>
        <w:pStyle w:val="ListParagraph"/>
        <w:numPr>
          <w:ilvl w:val="0"/>
          <w:numId w:val="5"/>
        </w:numPr>
      </w:pPr>
      <w:r>
        <w:t xml:space="preserve">December  2014 Risk Analysis </w:t>
      </w:r>
      <w:r w:rsidR="008C2705">
        <w:t>–</w:t>
      </w:r>
      <w:r>
        <w:t xml:space="preserve"> Information</w:t>
      </w:r>
    </w:p>
    <w:p w14:paraId="4E870D6C" w14:textId="77777777" w:rsidR="008C2705" w:rsidRDefault="008C2705" w:rsidP="00010C57">
      <w:pPr>
        <w:pStyle w:val="ListParagraph"/>
        <w:numPr>
          <w:ilvl w:val="1"/>
          <w:numId w:val="5"/>
        </w:numPr>
      </w:pPr>
      <w:r>
        <w:t xml:space="preserve">Figure 1: </w:t>
      </w:r>
      <w:r w:rsidR="00C53C28">
        <w:br/>
      </w:r>
      <w:r>
        <w:t>Frequency Count of Risks with significant scores</w:t>
      </w:r>
    </w:p>
    <w:p w14:paraId="2E1ACE4A" w14:textId="77777777" w:rsidR="000F08BA" w:rsidRDefault="000F08BA" w:rsidP="00010C57">
      <w:pPr>
        <w:pStyle w:val="ListParagraph"/>
        <w:numPr>
          <w:ilvl w:val="0"/>
          <w:numId w:val="5"/>
        </w:numPr>
      </w:pPr>
      <w:r>
        <w:t>Threat Risk: Common Theme Trend Analysis</w:t>
      </w:r>
    </w:p>
    <w:p w14:paraId="5568AF7E" w14:textId="77777777" w:rsidR="000F08BA" w:rsidRDefault="000F08BA" w:rsidP="00010C57">
      <w:pPr>
        <w:pStyle w:val="ListParagraph"/>
        <w:numPr>
          <w:ilvl w:val="0"/>
          <w:numId w:val="5"/>
        </w:numPr>
      </w:pPr>
      <w:r>
        <w:t xml:space="preserve">Appendix: </w:t>
      </w:r>
    </w:p>
    <w:p w14:paraId="2C2160F9" w14:textId="77777777" w:rsidR="000F08BA" w:rsidRDefault="000F08BA" w:rsidP="00010C57">
      <w:pPr>
        <w:pStyle w:val="ListParagraph"/>
        <w:numPr>
          <w:ilvl w:val="0"/>
          <w:numId w:val="4"/>
        </w:numPr>
      </w:pPr>
      <w:r>
        <w:t>Departmenta</w:t>
      </w:r>
      <w:r w:rsidR="0049101D">
        <w:t xml:space="preserve">l threat risk charts by Faculty </w:t>
      </w:r>
      <w:r>
        <w:t>/ Area</w:t>
      </w:r>
    </w:p>
    <w:p w14:paraId="1791EF06" w14:textId="77777777" w:rsidR="000F08BA" w:rsidRDefault="000F08BA" w:rsidP="00010C57">
      <w:pPr>
        <w:pStyle w:val="ListParagraph"/>
        <w:numPr>
          <w:ilvl w:val="0"/>
          <w:numId w:val="4"/>
        </w:numPr>
      </w:pPr>
      <w:r>
        <w:t>Faculty Threat Risks</w:t>
      </w:r>
    </w:p>
    <w:p w14:paraId="548B865B" w14:textId="77777777" w:rsidR="000F08BA" w:rsidRPr="00010C57" w:rsidRDefault="000F08BA" w:rsidP="00010C57">
      <w:pPr>
        <w:rPr>
          <w:sz w:val="16"/>
          <w:szCs w:val="16"/>
        </w:rPr>
      </w:pPr>
    </w:p>
    <w:p w14:paraId="07AE2E59" w14:textId="77777777" w:rsidR="00893F73" w:rsidRDefault="000F08BA" w:rsidP="005A7E46">
      <w:pPr>
        <w:pStyle w:val="ListParagraph"/>
        <w:numPr>
          <w:ilvl w:val="0"/>
          <w:numId w:val="8"/>
        </w:numPr>
      </w:pPr>
      <w:r w:rsidRPr="00633EFB">
        <w:rPr>
          <w:u w:val="single"/>
        </w:rPr>
        <w:t>December 2014 Risk Analysis - Information</w:t>
      </w:r>
      <w:r w:rsidRPr="00633EFB">
        <w:rPr>
          <w:u w:val="single"/>
        </w:rPr>
        <w:br/>
      </w:r>
      <w:r w:rsidRPr="000F08BA">
        <w:t>Empirical contains approximately 950 Risks</w:t>
      </w:r>
      <w:r>
        <w:t xml:space="preserve"> and about 49%</w:t>
      </w:r>
      <w:r w:rsidR="004F02E6">
        <w:t xml:space="preserve"> (464) </w:t>
      </w:r>
      <w:r>
        <w:t xml:space="preserve">of these </w:t>
      </w:r>
      <w:r w:rsidR="004F02E6">
        <w:t xml:space="preserve">are Threat risks which </w:t>
      </w:r>
      <w:r w:rsidRPr="00633EFB">
        <w:rPr>
          <w:rFonts w:eastAsia="Times New Roman" w:cs="Arial"/>
          <w:color w:val="000000"/>
          <w:szCs w:val="20"/>
          <w:lang w:eastAsia="en-GB"/>
        </w:rPr>
        <w:t xml:space="preserve">have a significant score (Impact and/or Likelihood score of 7 or above or a total score of 25 or above) and have been used in this analysis. </w:t>
      </w:r>
      <w:r w:rsidR="004F02E6">
        <w:rPr>
          <w:rFonts w:eastAsia="Times New Roman" w:cs="Arial"/>
          <w:color w:val="000000"/>
          <w:szCs w:val="20"/>
          <w:lang w:eastAsia="en-GB"/>
        </w:rPr>
        <w:t xml:space="preserve">This total number of Threat Risks with significant scores is further reduced </w:t>
      </w:r>
      <w:r w:rsidR="008E00F7">
        <w:rPr>
          <w:rFonts w:eastAsia="Times New Roman" w:cs="Arial"/>
          <w:color w:val="000000"/>
          <w:szCs w:val="20"/>
          <w:lang w:eastAsia="en-GB"/>
        </w:rPr>
        <w:t>for analysis by only counting each Risk Category for any Risk Area (SID / Faculty / College) once even though the Risk Area may have multiple risks for each Risk Category.</w:t>
      </w:r>
      <w:r w:rsidR="008E00F7">
        <w:rPr>
          <w:rFonts w:eastAsia="Times New Roman" w:cs="Arial"/>
          <w:color w:val="000000"/>
          <w:szCs w:val="20"/>
          <w:lang w:eastAsia="en-GB"/>
        </w:rPr>
        <w:br/>
        <w:t>Reducing the number of risks counted in this fashion results in a data set of</w:t>
      </w:r>
      <w:r w:rsidR="008D24B9" w:rsidRPr="00633EFB">
        <w:rPr>
          <w:rFonts w:eastAsia="Times New Roman" w:cs="Arial"/>
          <w:color w:val="000000"/>
          <w:szCs w:val="20"/>
          <w:lang w:eastAsia="en-GB"/>
        </w:rPr>
        <w:t xml:space="preserve"> 296 Threat risks </w:t>
      </w:r>
      <w:r w:rsidR="008E00F7">
        <w:rPr>
          <w:rFonts w:eastAsia="Times New Roman" w:cs="Arial"/>
          <w:color w:val="000000"/>
          <w:szCs w:val="20"/>
          <w:lang w:eastAsia="en-GB"/>
        </w:rPr>
        <w:t xml:space="preserve">of which </w:t>
      </w:r>
      <w:r w:rsidR="008D24B9" w:rsidRPr="00633EFB">
        <w:rPr>
          <w:rFonts w:eastAsia="Times New Roman" w:cs="Arial"/>
          <w:color w:val="000000"/>
          <w:szCs w:val="20"/>
          <w:lang w:eastAsia="en-GB"/>
        </w:rPr>
        <w:t xml:space="preserve">30 </w:t>
      </w:r>
      <w:r w:rsidR="008E00F7">
        <w:rPr>
          <w:rFonts w:eastAsia="Times New Roman" w:cs="Arial"/>
          <w:color w:val="000000"/>
          <w:szCs w:val="20"/>
          <w:lang w:eastAsia="en-GB"/>
        </w:rPr>
        <w:t xml:space="preserve">are </w:t>
      </w:r>
      <w:r w:rsidR="008D24B9" w:rsidRPr="00633EFB">
        <w:rPr>
          <w:rFonts w:eastAsia="Times New Roman" w:cs="Arial"/>
          <w:color w:val="000000"/>
          <w:szCs w:val="20"/>
          <w:lang w:eastAsia="en-GB"/>
        </w:rPr>
        <w:t>College or Faculty level Risks</w:t>
      </w:r>
      <w:r w:rsidR="00C83DDE">
        <w:rPr>
          <w:rFonts w:eastAsia="Times New Roman" w:cs="Arial"/>
          <w:color w:val="000000"/>
          <w:szCs w:val="20"/>
          <w:lang w:eastAsia="en-GB"/>
        </w:rPr>
        <w:t>.</w:t>
      </w:r>
      <w:r w:rsidR="007A2CE2">
        <w:rPr>
          <w:rFonts w:eastAsia="Times New Roman" w:cs="Arial"/>
          <w:color w:val="000000"/>
          <w:szCs w:val="20"/>
          <w:lang w:eastAsia="en-GB"/>
        </w:rPr>
        <w:t xml:space="preserve"> The number of </w:t>
      </w:r>
      <w:r w:rsidR="00D90035">
        <w:rPr>
          <w:rFonts w:eastAsia="Times New Roman" w:cs="Arial"/>
          <w:color w:val="000000"/>
          <w:szCs w:val="20"/>
          <w:lang w:eastAsia="en-GB"/>
        </w:rPr>
        <w:t xml:space="preserve">Departments </w:t>
      </w:r>
      <w:r w:rsidR="007A2CE2">
        <w:rPr>
          <w:rFonts w:eastAsia="Times New Roman" w:cs="Arial"/>
          <w:color w:val="000000"/>
          <w:szCs w:val="20"/>
          <w:lang w:eastAsia="en-GB"/>
        </w:rPr>
        <w:t xml:space="preserve">used is </w:t>
      </w:r>
      <w:r w:rsidR="00893F73">
        <w:t xml:space="preserve">58 </w:t>
      </w:r>
      <w:r w:rsidR="007A2CE2">
        <w:t xml:space="preserve">which includes </w:t>
      </w:r>
      <w:r w:rsidR="00893F73">
        <w:t>C</w:t>
      </w:r>
      <w:r w:rsidR="007A2CE2">
        <w:t>ollege level risks</w:t>
      </w:r>
      <w:r w:rsidR="0024145F">
        <w:t xml:space="preserve"> (1), </w:t>
      </w:r>
      <w:r w:rsidR="00893F73">
        <w:t>Faculties (4</w:t>
      </w:r>
      <w:r w:rsidR="007A2CE2">
        <w:t xml:space="preserve"> including the Business School</w:t>
      </w:r>
      <w:r w:rsidR="00893F73">
        <w:t xml:space="preserve">) </w:t>
      </w:r>
      <w:r w:rsidR="007A2CE2">
        <w:t xml:space="preserve">and </w:t>
      </w:r>
      <w:r w:rsidR="00893F73">
        <w:t>53 SID’s</w:t>
      </w:r>
      <w:r w:rsidR="00D90035">
        <w:t>.</w:t>
      </w:r>
    </w:p>
    <w:p w14:paraId="4034C547" w14:textId="77777777" w:rsidR="000F08BA" w:rsidRPr="00010C57" w:rsidRDefault="000F08BA" w:rsidP="00010C57">
      <w:pPr>
        <w:pStyle w:val="ListParagraph"/>
        <w:rPr>
          <w:sz w:val="16"/>
          <w:szCs w:val="16"/>
          <w:u w:val="single"/>
        </w:rPr>
      </w:pPr>
    </w:p>
    <w:p w14:paraId="4381106E" w14:textId="77777777" w:rsidR="00D90035" w:rsidRDefault="0099269B" w:rsidP="00010C57">
      <w:pPr>
        <w:pStyle w:val="ListParagraph"/>
        <w:ind w:left="709"/>
        <w:rPr>
          <w:rFonts w:eastAsia="Times New Roman" w:cs="Arial"/>
          <w:color w:val="000000"/>
          <w:szCs w:val="20"/>
          <w:lang w:eastAsia="en-GB"/>
        </w:rPr>
      </w:pPr>
      <w:r>
        <w:t>The frequency data indicate</w:t>
      </w:r>
      <w:r w:rsidR="009C2A61">
        <w:t>s</w:t>
      </w:r>
      <w:r>
        <w:t xml:space="preserve"> that key risk areas remain similar </w:t>
      </w:r>
      <w:r w:rsidR="00D90035">
        <w:t xml:space="preserve">over time </w:t>
      </w:r>
      <w:r>
        <w:t xml:space="preserve">with clustering around Staff and Disaster Recovery. Some reordering in the lower frequency count categories has occurred but the profile is very similar to </w:t>
      </w:r>
      <w:r w:rsidR="00D90035">
        <w:t xml:space="preserve">previous analyses </w:t>
      </w:r>
      <w:r w:rsidR="008B44E0">
        <w:t>(see Figure 1).</w:t>
      </w:r>
      <w:r w:rsidR="009C2A61" w:rsidRPr="009C2A61">
        <w:rPr>
          <w:rFonts w:eastAsia="Times New Roman" w:cs="Arial"/>
          <w:color w:val="000000"/>
          <w:szCs w:val="20"/>
          <w:lang w:eastAsia="en-GB"/>
        </w:rPr>
        <w:t xml:space="preserve"> </w:t>
      </w:r>
      <w:r w:rsidR="00E02C5C">
        <w:rPr>
          <w:rFonts w:eastAsia="Times New Roman" w:cs="Arial"/>
          <w:color w:val="000000"/>
          <w:szCs w:val="20"/>
          <w:lang w:eastAsia="en-GB"/>
        </w:rPr>
        <w:t>Apparently significant i</w:t>
      </w:r>
      <w:r w:rsidR="00D90035">
        <w:rPr>
          <w:rFonts w:eastAsia="Times New Roman" w:cs="Arial"/>
          <w:color w:val="000000"/>
          <w:szCs w:val="20"/>
          <w:lang w:eastAsia="en-GB"/>
        </w:rPr>
        <w:t xml:space="preserve">ncreases in the number of risks in 3 areas </w:t>
      </w:r>
      <w:r w:rsidR="00010C57">
        <w:rPr>
          <w:rFonts w:eastAsia="Times New Roman" w:cs="Arial"/>
          <w:color w:val="000000"/>
          <w:szCs w:val="20"/>
          <w:lang w:eastAsia="en-GB"/>
        </w:rPr>
        <w:t>were identified and considered</w:t>
      </w:r>
      <w:r w:rsidR="00D90035">
        <w:rPr>
          <w:rFonts w:eastAsia="Times New Roman" w:cs="Arial"/>
          <w:color w:val="000000"/>
          <w:szCs w:val="20"/>
          <w:lang w:eastAsia="en-GB"/>
        </w:rPr>
        <w:t>:</w:t>
      </w:r>
    </w:p>
    <w:p w14:paraId="49602B6B" w14:textId="77777777" w:rsidR="00D90035" w:rsidRPr="00D90035" w:rsidRDefault="00D90035" w:rsidP="00010C57">
      <w:pPr>
        <w:pStyle w:val="ListParagraph"/>
        <w:numPr>
          <w:ilvl w:val="0"/>
          <w:numId w:val="4"/>
        </w:numPr>
        <w:rPr>
          <w:u w:val="single"/>
        </w:rPr>
      </w:pPr>
      <w:r w:rsidRPr="005549F5">
        <w:rPr>
          <w:b/>
        </w:rPr>
        <w:t>Inadequate Processes/Organisation</w:t>
      </w:r>
      <w:r>
        <w:t>:  The increase is departments recognising that they may have inadequate processes within the department to undertake or monitor their activities.  There is no evidence of a systemic issue.</w:t>
      </w:r>
    </w:p>
    <w:p w14:paraId="096E9173" w14:textId="77777777" w:rsidR="00D90035" w:rsidRDefault="00D90035" w:rsidP="00010C57">
      <w:pPr>
        <w:pStyle w:val="ListParagraph"/>
        <w:numPr>
          <w:ilvl w:val="0"/>
          <w:numId w:val="4"/>
        </w:numPr>
      </w:pPr>
      <w:r>
        <w:t xml:space="preserve">The increase in departments concerned </w:t>
      </w:r>
      <w:r w:rsidR="00E02C5C">
        <w:t>about</w:t>
      </w:r>
      <w:r>
        <w:t xml:space="preserve"> </w:t>
      </w:r>
      <w:r w:rsidRPr="005549F5">
        <w:rPr>
          <w:b/>
        </w:rPr>
        <w:t>Insufficient space</w:t>
      </w:r>
      <w:r>
        <w:t xml:space="preserve"> is predominantly Academic Services/Other academic departments concerned over their inability to secure sufficient space for their academic activities (teaching/lectures/seminars)</w:t>
      </w:r>
    </w:p>
    <w:p w14:paraId="71CE99A1" w14:textId="77777777" w:rsidR="003E3653" w:rsidRPr="007D6372" w:rsidRDefault="007D6372" w:rsidP="00010C57">
      <w:pPr>
        <w:pStyle w:val="ListParagraph"/>
        <w:numPr>
          <w:ilvl w:val="0"/>
          <w:numId w:val="4"/>
        </w:numPr>
        <w:rPr>
          <w:u w:val="single"/>
        </w:rPr>
      </w:pPr>
      <w:r>
        <w:t xml:space="preserve">The increase in concern about </w:t>
      </w:r>
      <w:r w:rsidRPr="005549F5">
        <w:rPr>
          <w:b/>
        </w:rPr>
        <w:t>Regulation / Legal / Legislative Compliance</w:t>
      </w:r>
      <w:r>
        <w:t xml:space="preserve"> is an increase in recording reflecting </w:t>
      </w:r>
      <w:r w:rsidR="003B4EDC">
        <w:t xml:space="preserve">increased </w:t>
      </w:r>
      <w:r>
        <w:t>awareness of the risk but does not evidence any systemic issues.</w:t>
      </w:r>
    </w:p>
    <w:tbl>
      <w:tblPr>
        <w:tblStyle w:val="TableGrid"/>
        <w:tblW w:w="0" w:type="auto"/>
        <w:tblLook w:val="04A0" w:firstRow="1" w:lastRow="0" w:firstColumn="1" w:lastColumn="0" w:noHBand="0" w:noVBand="1"/>
      </w:tblPr>
      <w:tblGrid>
        <w:gridCol w:w="10564"/>
      </w:tblGrid>
      <w:tr w:rsidR="008B44E0" w:rsidRPr="003E3653" w14:paraId="5B6FF9A4" w14:textId="77777777" w:rsidTr="00211A38">
        <w:tc>
          <w:tcPr>
            <w:tcW w:w="10564" w:type="dxa"/>
          </w:tcPr>
          <w:p w14:paraId="1DE89FD0" w14:textId="77777777" w:rsidR="008B44E0" w:rsidRPr="0078696F" w:rsidRDefault="008B44E0">
            <w:pPr>
              <w:rPr>
                <w:color w:val="0070C0"/>
                <w:u w:val="single"/>
              </w:rPr>
            </w:pPr>
            <w:r w:rsidRPr="0078696F">
              <w:rPr>
                <w:color w:val="0070C0"/>
                <w:u w:val="single"/>
              </w:rPr>
              <w:t>Figure 1</w:t>
            </w:r>
          </w:p>
          <w:p w14:paraId="0047BED1" w14:textId="77777777" w:rsidR="008B44E0" w:rsidRPr="003E3653" w:rsidRDefault="008B44E0" w:rsidP="00CC536A">
            <w:r>
              <w:t xml:space="preserve">Frequency Count of Risks with significant scores: </w:t>
            </w:r>
          </w:p>
        </w:tc>
      </w:tr>
      <w:tr w:rsidR="004C7E6F" w:rsidRPr="003E3653" w14:paraId="46E1920B" w14:textId="77777777" w:rsidTr="004C7E6F">
        <w:tc>
          <w:tcPr>
            <w:tcW w:w="10564" w:type="dxa"/>
          </w:tcPr>
          <w:p w14:paraId="71C8FEBD" w14:textId="77777777" w:rsidR="004C7E6F" w:rsidRPr="003E3653" w:rsidRDefault="003B4EDC" w:rsidP="003B4EDC">
            <w:r>
              <w:rPr>
                <w:noProof/>
                <w:lang w:eastAsia="en-GB"/>
              </w:rPr>
              <w:drawing>
                <wp:inline distT="0" distB="0" distL="0" distR="0" wp14:anchorId="2278E74D" wp14:editId="134E4167">
                  <wp:extent cx="6610350" cy="333334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quency Chart.png"/>
                          <pic:cNvPicPr/>
                        </pic:nvPicPr>
                        <pic:blipFill>
                          <a:blip r:embed="rId10">
                            <a:extLst>
                              <a:ext uri="{28A0092B-C50C-407E-A947-70E740481C1C}">
                                <a14:useLocalDpi xmlns:a14="http://schemas.microsoft.com/office/drawing/2010/main" val="0"/>
                              </a:ext>
                            </a:extLst>
                          </a:blip>
                          <a:stretch>
                            <a:fillRect/>
                          </a:stretch>
                        </pic:blipFill>
                        <pic:spPr>
                          <a:xfrm>
                            <a:off x="0" y="0"/>
                            <a:ext cx="6610350" cy="3333349"/>
                          </a:xfrm>
                          <a:prstGeom prst="rect">
                            <a:avLst/>
                          </a:prstGeom>
                        </pic:spPr>
                      </pic:pic>
                    </a:graphicData>
                  </a:graphic>
                </wp:inline>
              </w:drawing>
            </w:r>
          </w:p>
        </w:tc>
      </w:tr>
    </w:tbl>
    <w:p w14:paraId="56AC93B9" w14:textId="77777777" w:rsidR="00864E94" w:rsidRDefault="00864E94"/>
    <w:p w14:paraId="35AC1758" w14:textId="77777777" w:rsidR="00864E94" w:rsidRDefault="00864E94" w:rsidP="00864E94">
      <w:r>
        <w:t>The charts in the Appendix</w:t>
      </w:r>
      <w:r w:rsidR="0049101D">
        <w:t xml:space="preserve"> </w:t>
      </w:r>
      <w:r>
        <w:t xml:space="preserve">show Departmental threat risks by Faculty / Area and include a chart for Faculty Threat Risks. The current College Risk areas are indicated on the charts with the symbol </w:t>
      </w:r>
      <w:r>
        <w:rPr>
          <w:noProof/>
          <w:lang w:eastAsia="en-GB"/>
        </w:rPr>
        <w:drawing>
          <wp:inline distT="0" distB="0" distL="0" distR="0" wp14:anchorId="3C2FCA62" wp14:editId="1073F3C3">
            <wp:extent cx="104775" cy="123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t xml:space="preserve"> to indicate where Department and Faculty risks have alignment with College level risks.  </w:t>
      </w:r>
    </w:p>
    <w:p w14:paraId="26085D77" w14:textId="77777777" w:rsidR="00864E94" w:rsidRDefault="00864E94" w:rsidP="00864E94"/>
    <w:p w14:paraId="29F6778C" w14:textId="77777777" w:rsidR="00864E94" w:rsidRDefault="00864E94" w:rsidP="00864E94">
      <w:r>
        <w:lastRenderedPageBreak/>
        <w:t>The Risk Analysis is facilitated by Staff recording and updating Empirical forming a journal of risk information of benefit at all levels of the College. We would like to thank the Staff for their continued support and development of the information recorded in Empirical.</w:t>
      </w:r>
    </w:p>
    <w:p w14:paraId="6F54FD1D" w14:textId="77777777" w:rsidR="004F4FF6" w:rsidRDefault="004F4FF6" w:rsidP="0049101D">
      <w:pPr>
        <w:rPr>
          <w:u w:val="single"/>
        </w:rPr>
      </w:pPr>
    </w:p>
    <w:p w14:paraId="2A7F37C6" w14:textId="77777777" w:rsidR="00010C57" w:rsidRPr="005A7E46" w:rsidRDefault="00010C57" w:rsidP="005A7E46">
      <w:pPr>
        <w:pStyle w:val="ListParagraph"/>
        <w:numPr>
          <w:ilvl w:val="0"/>
          <w:numId w:val="8"/>
        </w:numPr>
        <w:rPr>
          <w:u w:val="single"/>
        </w:rPr>
      </w:pPr>
      <w:r w:rsidRPr="005A7E46">
        <w:rPr>
          <w:u w:val="single"/>
        </w:rPr>
        <w:t>Threat Risk: Common Theme Trend Analysis: December 2014</w:t>
      </w:r>
    </w:p>
    <w:p w14:paraId="6D8B7288" w14:textId="77777777" w:rsidR="004C7E6F" w:rsidRDefault="004C7E6F">
      <w:r w:rsidRPr="00A47AD7">
        <w:rPr>
          <w:noProof/>
          <w:bdr w:val="single" w:sz="4" w:space="0" w:color="auto"/>
          <w:lang w:eastAsia="en-GB"/>
        </w:rPr>
        <w:drawing>
          <wp:inline distT="0" distB="0" distL="0" distR="0" wp14:anchorId="4B5B315E" wp14:editId="0481BF77">
            <wp:extent cx="6322452" cy="879157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Themes 2014.png"/>
                    <pic:cNvPicPr/>
                  </pic:nvPicPr>
                  <pic:blipFill>
                    <a:blip r:embed="rId12">
                      <a:extLst>
                        <a:ext uri="{28A0092B-C50C-407E-A947-70E740481C1C}">
                          <a14:useLocalDpi xmlns:a14="http://schemas.microsoft.com/office/drawing/2010/main" val="0"/>
                        </a:ext>
                      </a:extLst>
                    </a:blip>
                    <a:stretch>
                      <a:fillRect/>
                    </a:stretch>
                  </pic:blipFill>
                  <pic:spPr>
                    <a:xfrm>
                      <a:off x="0" y="0"/>
                      <a:ext cx="6323335" cy="8792802"/>
                    </a:xfrm>
                    <a:prstGeom prst="rect">
                      <a:avLst/>
                    </a:prstGeom>
                  </pic:spPr>
                </pic:pic>
              </a:graphicData>
            </a:graphic>
          </wp:inline>
        </w:drawing>
      </w:r>
    </w:p>
    <w:p w14:paraId="19B5AFD0" w14:textId="77777777" w:rsidR="00A47AD7" w:rsidRDefault="00A47AD7"/>
    <w:p w14:paraId="6A268152" w14:textId="77777777" w:rsidR="008D24B9" w:rsidRDefault="008D24B9">
      <w:pPr>
        <w:sectPr w:rsidR="008D24B9" w:rsidSect="003C4BDB">
          <w:pgSz w:w="11906" w:h="16838"/>
          <w:pgMar w:top="709" w:right="707" w:bottom="567" w:left="851" w:header="708" w:footer="708" w:gutter="0"/>
          <w:cols w:space="708"/>
          <w:docGrid w:linePitch="360"/>
        </w:sectPr>
      </w:pPr>
    </w:p>
    <w:p w14:paraId="623C20EC" w14:textId="77777777" w:rsidR="00055CDC" w:rsidRPr="005A7E46" w:rsidRDefault="00055CDC" w:rsidP="005A7E46">
      <w:pPr>
        <w:pStyle w:val="ListParagraph"/>
        <w:numPr>
          <w:ilvl w:val="0"/>
          <w:numId w:val="8"/>
        </w:numPr>
        <w:rPr>
          <w:u w:val="single"/>
        </w:rPr>
      </w:pPr>
      <w:r w:rsidRPr="005A7E46">
        <w:rPr>
          <w:u w:val="single"/>
        </w:rPr>
        <w:lastRenderedPageBreak/>
        <w:t>APPENDIX</w:t>
      </w:r>
    </w:p>
    <w:p w14:paraId="37C7DA6C" w14:textId="77777777" w:rsidR="00055CDC" w:rsidRDefault="00055CDC"/>
    <w:p w14:paraId="09132F2A" w14:textId="77777777" w:rsidR="003C4BDB" w:rsidRDefault="00EB5419">
      <w:r>
        <w:rPr>
          <w:noProof/>
          <w:lang w:eastAsia="en-GB"/>
        </w:rPr>
        <w:drawing>
          <wp:inline distT="0" distB="0" distL="0" distR="0" wp14:anchorId="009AE352" wp14:editId="510F5EE9">
            <wp:extent cx="4527458" cy="2745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1.png"/>
                    <pic:cNvPicPr/>
                  </pic:nvPicPr>
                  <pic:blipFill>
                    <a:blip r:embed="rId13">
                      <a:extLst>
                        <a:ext uri="{28A0092B-C50C-407E-A947-70E740481C1C}">
                          <a14:useLocalDpi xmlns:a14="http://schemas.microsoft.com/office/drawing/2010/main" val="0"/>
                        </a:ext>
                      </a:extLst>
                    </a:blip>
                    <a:stretch>
                      <a:fillRect/>
                    </a:stretch>
                  </pic:blipFill>
                  <pic:spPr>
                    <a:xfrm>
                      <a:off x="0" y="0"/>
                      <a:ext cx="4527458" cy="274576"/>
                    </a:xfrm>
                    <a:prstGeom prst="rect">
                      <a:avLst/>
                    </a:prstGeom>
                  </pic:spPr>
                </pic:pic>
              </a:graphicData>
            </a:graphic>
          </wp:inline>
        </w:drawing>
      </w:r>
    </w:p>
    <w:p w14:paraId="40050E23" w14:textId="77777777" w:rsidR="008D24B9" w:rsidRDefault="00EB5419">
      <w:r>
        <w:rPr>
          <w:noProof/>
          <w:lang w:eastAsia="en-GB"/>
        </w:rPr>
        <w:drawing>
          <wp:inline distT="0" distB="0" distL="0" distR="0" wp14:anchorId="55B8EB3C" wp14:editId="455C765D">
            <wp:extent cx="9751156" cy="5791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SIDs.png"/>
                    <pic:cNvPicPr/>
                  </pic:nvPicPr>
                  <pic:blipFill>
                    <a:blip r:embed="rId14">
                      <a:extLst>
                        <a:ext uri="{28A0092B-C50C-407E-A947-70E740481C1C}">
                          <a14:useLocalDpi xmlns:a14="http://schemas.microsoft.com/office/drawing/2010/main" val="0"/>
                        </a:ext>
                      </a:extLst>
                    </a:blip>
                    <a:stretch>
                      <a:fillRect/>
                    </a:stretch>
                  </pic:blipFill>
                  <pic:spPr>
                    <a:xfrm>
                      <a:off x="0" y="0"/>
                      <a:ext cx="9756976" cy="5794656"/>
                    </a:xfrm>
                    <a:prstGeom prst="rect">
                      <a:avLst/>
                    </a:prstGeom>
                  </pic:spPr>
                </pic:pic>
              </a:graphicData>
            </a:graphic>
          </wp:inline>
        </w:drawing>
      </w:r>
    </w:p>
    <w:p w14:paraId="1CFC312E" w14:textId="2696C3E1" w:rsidR="008D24B9" w:rsidRDefault="00FA4702">
      <w:r>
        <w:tab/>
        <w:t>(Includes IC &amp; Faculties)</w:t>
      </w:r>
      <w:r w:rsidR="008D24B9">
        <w:br w:type="page"/>
      </w:r>
    </w:p>
    <w:p w14:paraId="11F76ABC" w14:textId="77777777" w:rsidR="008D24B9" w:rsidRDefault="00D75F1F" w:rsidP="00D75F1F">
      <w:pPr>
        <w:jc w:val="both"/>
      </w:pPr>
      <w:r>
        <w:rPr>
          <w:noProof/>
          <w:lang w:eastAsia="en-GB"/>
        </w:rPr>
        <w:lastRenderedPageBreak/>
        <w:drawing>
          <wp:inline distT="0" distB="0" distL="0" distR="0" wp14:anchorId="581E235A" wp14:editId="173F1B53">
            <wp:extent cx="4527458" cy="2745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1.png"/>
                    <pic:cNvPicPr/>
                  </pic:nvPicPr>
                  <pic:blipFill>
                    <a:blip r:embed="rId13">
                      <a:extLst>
                        <a:ext uri="{28A0092B-C50C-407E-A947-70E740481C1C}">
                          <a14:useLocalDpi xmlns:a14="http://schemas.microsoft.com/office/drawing/2010/main" val="0"/>
                        </a:ext>
                      </a:extLst>
                    </a:blip>
                    <a:stretch>
                      <a:fillRect/>
                    </a:stretch>
                  </pic:blipFill>
                  <pic:spPr>
                    <a:xfrm>
                      <a:off x="0" y="0"/>
                      <a:ext cx="4527458" cy="274576"/>
                    </a:xfrm>
                    <a:prstGeom prst="rect">
                      <a:avLst/>
                    </a:prstGeom>
                  </pic:spPr>
                </pic:pic>
              </a:graphicData>
            </a:graphic>
          </wp:inline>
        </w:drawing>
      </w:r>
    </w:p>
    <w:p w14:paraId="5BC66A8A" w14:textId="77777777" w:rsidR="00D75F1F" w:rsidRDefault="00D75F1F" w:rsidP="00D75F1F">
      <w:pPr>
        <w:jc w:val="center"/>
      </w:pPr>
      <w:r>
        <w:rPr>
          <w:noProof/>
          <w:lang w:eastAsia="en-GB"/>
        </w:rPr>
        <w:drawing>
          <wp:inline distT="0" distB="0" distL="0" distR="0" wp14:anchorId="6B07FAA5" wp14:editId="2C276E53">
            <wp:extent cx="8121989" cy="5229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 Themes Dec 2014.png"/>
                    <pic:cNvPicPr/>
                  </pic:nvPicPr>
                  <pic:blipFill>
                    <a:blip r:embed="rId15">
                      <a:extLst>
                        <a:ext uri="{28A0092B-C50C-407E-A947-70E740481C1C}">
                          <a14:useLocalDpi xmlns:a14="http://schemas.microsoft.com/office/drawing/2010/main" val="0"/>
                        </a:ext>
                      </a:extLst>
                    </a:blip>
                    <a:stretch>
                      <a:fillRect/>
                    </a:stretch>
                  </pic:blipFill>
                  <pic:spPr>
                    <a:xfrm>
                      <a:off x="0" y="0"/>
                      <a:ext cx="8125461" cy="5231460"/>
                    </a:xfrm>
                    <a:prstGeom prst="rect">
                      <a:avLst/>
                    </a:prstGeom>
                  </pic:spPr>
                </pic:pic>
              </a:graphicData>
            </a:graphic>
          </wp:inline>
        </w:drawing>
      </w:r>
    </w:p>
    <w:p w14:paraId="65F20B78" w14:textId="3E361575" w:rsidR="00756743" w:rsidRDefault="00FA4702" w:rsidP="00FA4702">
      <w:r>
        <w:tab/>
      </w:r>
      <w:r>
        <w:tab/>
        <w:t>(Excludes IC &amp; Faculties)</w:t>
      </w:r>
    </w:p>
    <w:p w14:paraId="11AEE48C" w14:textId="77777777" w:rsidR="00756743" w:rsidRDefault="00756743" w:rsidP="00D75F1F">
      <w:pPr>
        <w:jc w:val="center"/>
      </w:pPr>
    </w:p>
    <w:p w14:paraId="7D827C30" w14:textId="77777777" w:rsidR="00756743" w:rsidRDefault="00756743">
      <w:r>
        <w:br w:type="page"/>
      </w:r>
    </w:p>
    <w:p w14:paraId="11E33986" w14:textId="77777777" w:rsidR="004F3999" w:rsidRDefault="00756743" w:rsidP="00756743">
      <w:r>
        <w:rPr>
          <w:noProof/>
          <w:lang w:eastAsia="en-GB"/>
        </w:rPr>
        <w:lastRenderedPageBreak/>
        <w:drawing>
          <wp:inline distT="0" distB="0" distL="0" distR="0" wp14:anchorId="7FC02CA8" wp14:editId="0A7E2651">
            <wp:extent cx="4527458" cy="274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1.png"/>
                    <pic:cNvPicPr/>
                  </pic:nvPicPr>
                  <pic:blipFill>
                    <a:blip r:embed="rId13">
                      <a:extLst>
                        <a:ext uri="{28A0092B-C50C-407E-A947-70E740481C1C}">
                          <a14:useLocalDpi xmlns:a14="http://schemas.microsoft.com/office/drawing/2010/main" val="0"/>
                        </a:ext>
                      </a:extLst>
                    </a:blip>
                    <a:stretch>
                      <a:fillRect/>
                    </a:stretch>
                  </pic:blipFill>
                  <pic:spPr>
                    <a:xfrm>
                      <a:off x="0" y="0"/>
                      <a:ext cx="4527458" cy="274576"/>
                    </a:xfrm>
                    <a:prstGeom prst="rect">
                      <a:avLst/>
                    </a:prstGeom>
                  </pic:spPr>
                </pic:pic>
              </a:graphicData>
            </a:graphic>
          </wp:inline>
        </w:drawing>
      </w:r>
    </w:p>
    <w:p w14:paraId="5522755D" w14:textId="77777777" w:rsidR="004F3999" w:rsidRDefault="004F3999" w:rsidP="004F3999"/>
    <w:p w14:paraId="25FD46A8" w14:textId="77777777" w:rsidR="00756743" w:rsidRDefault="004F3999" w:rsidP="004F3999">
      <w:pPr>
        <w:rPr>
          <w:b/>
        </w:rPr>
      </w:pPr>
      <w:r w:rsidRPr="004F3999">
        <w:rPr>
          <w:b/>
        </w:rPr>
        <w:t>A</w:t>
      </w:r>
      <w:r>
        <w:rPr>
          <w:b/>
        </w:rPr>
        <w:t xml:space="preserve">cademic </w:t>
      </w:r>
      <w:r w:rsidRPr="004F3999">
        <w:rPr>
          <w:b/>
        </w:rPr>
        <w:t>S</w:t>
      </w:r>
      <w:r>
        <w:rPr>
          <w:b/>
        </w:rPr>
        <w:t>ervices</w:t>
      </w:r>
      <w:r w:rsidRPr="004F3999">
        <w:rPr>
          <w:b/>
        </w:rPr>
        <w:t xml:space="preserve"> / Other</w:t>
      </w:r>
      <w:r w:rsidR="00756743">
        <w:rPr>
          <w:noProof/>
          <w:lang w:eastAsia="en-GB"/>
        </w:rPr>
        <w:drawing>
          <wp:inline distT="0" distB="0" distL="0" distR="0" wp14:anchorId="24909984" wp14:editId="5A5E173F">
            <wp:extent cx="9881870" cy="5212715"/>
            <wp:effectExtent l="0" t="0" r="508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Other.png"/>
                    <pic:cNvPicPr/>
                  </pic:nvPicPr>
                  <pic:blipFill>
                    <a:blip r:embed="rId16">
                      <a:extLst>
                        <a:ext uri="{28A0092B-C50C-407E-A947-70E740481C1C}">
                          <a14:useLocalDpi xmlns:a14="http://schemas.microsoft.com/office/drawing/2010/main" val="0"/>
                        </a:ext>
                      </a:extLst>
                    </a:blip>
                    <a:stretch>
                      <a:fillRect/>
                    </a:stretch>
                  </pic:blipFill>
                  <pic:spPr>
                    <a:xfrm>
                      <a:off x="0" y="0"/>
                      <a:ext cx="9881870" cy="5212715"/>
                    </a:xfrm>
                    <a:prstGeom prst="rect">
                      <a:avLst/>
                    </a:prstGeom>
                  </pic:spPr>
                </pic:pic>
              </a:graphicData>
            </a:graphic>
          </wp:inline>
        </w:drawing>
      </w:r>
    </w:p>
    <w:p w14:paraId="008C54A8" w14:textId="65AE779A" w:rsidR="004F3999" w:rsidRDefault="00FA4702" w:rsidP="004F3999">
      <w:pPr>
        <w:rPr>
          <w:b/>
        </w:rPr>
      </w:pPr>
      <w:r>
        <w:t>(Excludes IC &amp; Faculties)</w:t>
      </w:r>
    </w:p>
    <w:p w14:paraId="2298584C" w14:textId="77777777" w:rsidR="004F3999" w:rsidRDefault="004F3999">
      <w:pPr>
        <w:rPr>
          <w:b/>
        </w:rPr>
      </w:pPr>
      <w:r>
        <w:rPr>
          <w:b/>
        </w:rPr>
        <w:br w:type="page"/>
      </w:r>
    </w:p>
    <w:p w14:paraId="498015FB" w14:textId="77777777" w:rsidR="004F3999" w:rsidRDefault="00BF4FB2" w:rsidP="004F3999">
      <w:r>
        <w:rPr>
          <w:noProof/>
          <w:lang w:eastAsia="en-GB"/>
        </w:rPr>
        <w:lastRenderedPageBreak/>
        <w:drawing>
          <wp:inline distT="0" distB="0" distL="0" distR="0" wp14:anchorId="66AEB1DD" wp14:editId="56EA4D4A">
            <wp:extent cx="4527458" cy="2745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1.png"/>
                    <pic:cNvPicPr/>
                  </pic:nvPicPr>
                  <pic:blipFill>
                    <a:blip r:embed="rId13">
                      <a:extLst>
                        <a:ext uri="{28A0092B-C50C-407E-A947-70E740481C1C}">
                          <a14:useLocalDpi xmlns:a14="http://schemas.microsoft.com/office/drawing/2010/main" val="0"/>
                        </a:ext>
                      </a:extLst>
                    </a:blip>
                    <a:stretch>
                      <a:fillRect/>
                    </a:stretch>
                  </pic:blipFill>
                  <pic:spPr>
                    <a:xfrm>
                      <a:off x="0" y="0"/>
                      <a:ext cx="4527458" cy="274576"/>
                    </a:xfrm>
                    <a:prstGeom prst="rect">
                      <a:avLst/>
                    </a:prstGeom>
                  </pic:spPr>
                </pic:pic>
              </a:graphicData>
            </a:graphic>
          </wp:inline>
        </w:drawing>
      </w:r>
      <w:r>
        <w:rPr>
          <w:noProof/>
          <w:lang w:eastAsia="en-GB"/>
        </w:rPr>
        <w:drawing>
          <wp:inline distT="0" distB="0" distL="0" distR="0" wp14:anchorId="75A40033" wp14:editId="2FA88915">
            <wp:extent cx="9152543" cy="50522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 Services.png"/>
                    <pic:cNvPicPr/>
                  </pic:nvPicPr>
                  <pic:blipFill>
                    <a:blip r:embed="rId17">
                      <a:extLst>
                        <a:ext uri="{28A0092B-C50C-407E-A947-70E740481C1C}">
                          <a14:useLocalDpi xmlns:a14="http://schemas.microsoft.com/office/drawing/2010/main" val="0"/>
                        </a:ext>
                      </a:extLst>
                    </a:blip>
                    <a:stretch>
                      <a:fillRect/>
                    </a:stretch>
                  </pic:blipFill>
                  <pic:spPr>
                    <a:xfrm>
                      <a:off x="0" y="0"/>
                      <a:ext cx="9152543" cy="5052204"/>
                    </a:xfrm>
                    <a:prstGeom prst="rect">
                      <a:avLst/>
                    </a:prstGeom>
                  </pic:spPr>
                </pic:pic>
              </a:graphicData>
            </a:graphic>
          </wp:inline>
        </w:drawing>
      </w:r>
    </w:p>
    <w:p w14:paraId="51D81044" w14:textId="0E4F07DE" w:rsidR="00055CDC" w:rsidRDefault="00FA4702" w:rsidP="004F3999">
      <w:r>
        <w:t>(Excludes IC &amp; Faculties)</w:t>
      </w:r>
    </w:p>
    <w:p w14:paraId="68F4ED46" w14:textId="77777777" w:rsidR="00055CDC" w:rsidRDefault="00055CDC">
      <w:r>
        <w:br w:type="page"/>
      </w:r>
    </w:p>
    <w:p w14:paraId="173F77D7" w14:textId="77777777" w:rsidR="00055CDC" w:rsidRDefault="0070786A" w:rsidP="004F3999">
      <w:r>
        <w:rPr>
          <w:noProof/>
          <w:lang w:eastAsia="en-GB"/>
        </w:rPr>
        <w:lastRenderedPageBreak/>
        <w:drawing>
          <wp:inline distT="0" distB="0" distL="0" distR="0" wp14:anchorId="6F9FBB53" wp14:editId="5DE2510B">
            <wp:extent cx="4527458" cy="27457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risk-1.png"/>
                    <pic:cNvPicPr/>
                  </pic:nvPicPr>
                  <pic:blipFill>
                    <a:blip r:embed="rId13">
                      <a:extLst>
                        <a:ext uri="{28A0092B-C50C-407E-A947-70E740481C1C}">
                          <a14:useLocalDpi xmlns:a14="http://schemas.microsoft.com/office/drawing/2010/main" val="0"/>
                        </a:ext>
                      </a:extLst>
                    </a:blip>
                    <a:stretch>
                      <a:fillRect/>
                    </a:stretch>
                  </pic:blipFill>
                  <pic:spPr>
                    <a:xfrm>
                      <a:off x="0" y="0"/>
                      <a:ext cx="4527458" cy="274576"/>
                    </a:xfrm>
                    <a:prstGeom prst="rect">
                      <a:avLst/>
                    </a:prstGeom>
                  </pic:spPr>
                </pic:pic>
              </a:graphicData>
            </a:graphic>
          </wp:inline>
        </w:drawing>
      </w:r>
    </w:p>
    <w:p w14:paraId="78E52BAC" w14:textId="77777777" w:rsidR="0070786A" w:rsidRDefault="0070786A" w:rsidP="004F3999">
      <w:r>
        <w:rPr>
          <w:noProof/>
          <w:lang w:eastAsia="en-GB"/>
        </w:rPr>
        <w:drawing>
          <wp:inline distT="0" distB="0" distL="0" distR="0" wp14:anchorId="4E4BF06E" wp14:editId="52539935">
            <wp:extent cx="9311187" cy="538169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ulties.png"/>
                    <pic:cNvPicPr/>
                  </pic:nvPicPr>
                  <pic:blipFill>
                    <a:blip r:embed="rId18">
                      <a:extLst>
                        <a:ext uri="{28A0092B-C50C-407E-A947-70E740481C1C}">
                          <a14:useLocalDpi xmlns:a14="http://schemas.microsoft.com/office/drawing/2010/main" val="0"/>
                        </a:ext>
                      </a:extLst>
                    </a:blip>
                    <a:stretch>
                      <a:fillRect/>
                    </a:stretch>
                  </pic:blipFill>
                  <pic:spPr>
                    <a:xfrm>
                      <a:off x="0" y="0"/>
                      <a:ext cx="9311187" cy="5381695"/>
                    </a:xfrm>
                    <a:prstGeom prst="rect">
                      <a:avLst/>
                    </a:prstGeom>
                  </pic:spPr>
                </pic:pic>
              </a:graphicData>
            </a:graphic>
          </wp:inline>
        </w:drawing>
      </w:r>
    </w:p>
    <w:p w14:paraId="0AC96B03" w14:textId="77777777" w:rsidR="00055CDC" w:rsidRDefault="00055CDC" w:rsidP="004F3999"/>
    <w:p w14:paraId="6C1AF96D" w14:textId="77777777" w:rsidR="00055CDC" w:rsidRDefault="00055CDC" w:rsidP="004F3999"/>
    <w:p w14:paraId="61DFB24C" w14:textId="77777777" w:rsidR="00055CDC" w:rsidRDefault="00055CDC" w:rsidP="004F3999"/>
    <w:p w14:paraId="5DC7F66F" w14:textId="77777777" w:rsidR="00055CDC" w:rsidRDefault="00055CDC" w:rsidP="004F3999"/>
    <w:p w14:paraId="5B45DE95" w14:textId="77777777" w:rsidR="00BF4FB2" w:rsidRDefault="00BF4FB2" w:rsidP="004F3999"/>
    <w:sectPr w:rsidR="00BF4FB2" w:rsidSect="008D24B9">
      <w:pgSz w:w="16838" w:h="11906" w:orient="landscape"/>
      <w:pgMar w:top="851" w:right="709" w:bottom="70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6A41CB"/>
    <w:multiLevelType w:val="hybridMultilevel"/>
    <w:tmpl w:val="128A8F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7D939E4"/>
    <w:multiLevelType w:val="hybridMultilevel"/>
    <w:tmpl w:val="F028C2C0"/>
    <w:lvl w:ilvl="0" w:tplc="D80257F8">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3E306C74"/>
    <w:multiLevelType w:val="hybridMultilevel"/>
    <w:tmpl w:val="B4966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9602F75"/>
    <w:multiLevelType w:val="hybridMultilevel"/>
    <w:tmpl w:val="9E7A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5CF25AF"/>
    <w:multiLevelType w:val="hybridMultilevel"/>
    <w:tmpl w:val="AB64B540"/>
    <w:lvl w:ilvl="0" w:tplc="10D2B87A">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60294E5F"/>
    <w:multiLevelType w:val="hybridMultilevel"/>
    <w:tmpl w:val="0FD6DE4E"/>
    <w:lvl w:ilvl="0" w:tplc="08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BC36CF6"/>
    <w:multiLevelType w:val="hybridMultilevel"/>
    <w:tmpl w:val="F028C2C0"/>
    <w:lvl w:ilvl="0" w:tplc="D80257F8">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7F077893"/>
    <w:multiLevelType w:val="hybridMultilevel"/>
    <w:tmpl w:val="05F4A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4"/>
  </w:num>
  <w:num w:numId="5">
    <w:abstractNumId w:val="5"/>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BFA"/>
    <w:rsid w:val="00010C57"/>
    <w:rsid w:val="00012D56"/>
    <w:rsid w:val="00014BE8"/>
    <w:rsid w:val="00023D94"/>
    <w:rsid w:val="00055CDC"/>
    <w:rsid w:val="000A1C19"/>
    <w:rsid w:val="000F08BA"/>
    <w:rsid w:val="00110AD7"/>
    <w:rsid w:val="00151CE7"/>
    <w:rsid w:val="0016092F"/>
    <w:rsid w:val="00182186"/>
    <w:rsid w:val="00187756"/>
    <w:rsid w:val="001C09BD"/>
    <w:rsid w:val="001F53E2"/>
    <w:rsid w:val="0024145F"/>
    <w:rsid w:val="002419C1"/>
    <w:rsid w:val="0024762B"/>
    <w:rsid w:val="0027008A"/>
    <w:rsid w:val="002B1569"/>
    <w:rsid w:val="002B2674"/>
    <w:rsid w:val="00313E96"/>
    <w:rsid w:val="00332F24"/>
    <w:rsid w:val="00351390"/>
    <w:rsid w:val="003B4EDC"/>
    <w:rsid w:val="003C4BDB"/>
    <w:rsid w:val="003E3653"/>
    <w:rsid w:val="00405E73"/>
    <w:rsid w:val="00445C7E"/>
    <w:rsid w:val="004731A0"/>
    <w:rsid w:val="0049101D"/>
    <w:rsid w:val="004A081F"/>
    <w:rsid w:val="004C7E6F"/>
    <w:rsid w:val="004F02E6"/>
    <w:rsid w:val="004F3999"/>
    <w:rsid w:val="004F4FF6"/>
    <w:rsid w:val="00506A40"/>
    <w:rsid w:val="00523265"/>
    <w:rsid w:val="005549F5"/>
    <w:rsid w:val="00555ED0"/>
    <w:rsid w:val="0058484B"/>
    <w:rsid w:val="005A7E46"/>
    <w:rsid w:val="005B11F1"/>
    <w:rsid w:val="005B7C1A"/>
    <w:rsid w:val="005C72D8"/>
    <w:rsid w:val="005E1CA5"/>
    <w:rsid w:val="00633EFB"/>
    <w:rsid w:val="00651180"/>
    <w:rsid w:val="006607F3"/>
    <w:rsid w:val="006642BD"/>
    <w:rsid w:val="00695E84"/>
    <w:rsid w:val="006A5F1A"/>
    <w:rsid w:val="006B55AD"/>
    <w:rsid w:val="006C32C0"/>
    <w:rsid w:val="006C559D"/>
    <w:rsid w:val="006D07B2"/>
    <w:rsid w:val="0070786A"/>
    <w:rsid w:val="00711326"/>
    <w:rsid w:val="00712295"/>
    <w:rsid w:val="00712DD8"/>
    <w:rsid w:val="007438FA"/>
    <w:rsid w:val="00756743"/>
    <w:rsid w:val="00774D68"/>
    <w:rsid w:val="0078696F"/>
    <w:rsid w:val="007973F4"/>
    <w:rsid w:val="007A2CE2"/>
    <w:rsid w:val="007D6372"/>
    <w:rsid w:val="00822C11"/>
    <w:rsid w:val="00864E94"/>
    <w:rsid w:val="00893F73"/>
    <w:rsid w:val="008B3EF4"/>
    <w:rsid w:val="008B44E0"/>
    <w:rsid w:val="008C2705"/>
    <w:rsid w:val="008D24B9"/>
    <w:rsid w:val="008D2EAB"/>
    <w:rsid w:val="008E00F7"/>
    <w:rsid w:val="009001CE"/>
    <w:rsid w:val="00937ADA"/>
    <w:rsid w:val="0099269B"/>
    <w:rsid w:val="00997C12"/>
    <w:rsid w:val="009C2A61"/>
    <w:rsid w:val="009F5D07"/>
    <w:rsid w:val="00A06D6B"/>
    <w:rsid w:val="00A23FE8"/>
    <w:rsid w:val="00A37C8F"/>
    <w:rsid w:val="00A47AD7"/>
    <w:rsid w:val="00A5276F"/>
    <w:rsid w:val="00A714C7"/>
    <w:rsid w:val="00AF28AE"/>
    <w:rsid w:val="00AF5C05"/>
    <w:rsid w:val="00B02C2C"/>
    <w:rsid w:val="00B63EEB"/>
    <w:rsid w:val="00B86512"/>
    <w:rsid w:val="00BA436F"/>
    <w:rsid w:val="00BD6A12"/>
    <w:rsid w:val="00BF4FB2"/>
    <w:rsid w:val="00C064F4"/>
    <w:rsid w:val="00C510CF"/>
    <w:rsid w:val="00C53C28"/>
    <w:rsid w:val="00C57B9D"/>
    <w:rsid w:val="00C81D0A"/>
    <w:rsid w:val="00C83DDE"/>
    <w:rsid w:val="00CA34F6"/>
    <w:rsid w:val="00CB3515"/>
    <w:rsid w:val="00CB6390"/>
    <w:rsid w:val="00CC536A"/>
    <w:rsid w:val="00D1744C"/>
    <w:rsid w:val="00D239CD"/>
    <w:rsid w:val="00D31DAB"/>
    <w:rsid w:val="00D56BFA"/>
    <w:rsid w:val="00D75F1F"/>
    <w:rsid w:val="00D90035"/>
    <w:rsid w:val="00DC1AA8"/>
    <w:rsid w:val="00E02C5C"/>
    <w:rsid w:val="00E25B0F"/>
    <w:rsid w:val="00EB5419"/>
    <w:rsid w:val="00ED0E0A"/>
    <w:rsid w:val="00EF399B"/>
    <w:rsid w:val="00F0475F"/>
    <w:rsid w:val="00F254CD"/>
    <w:rsid w:val="00FA4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115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6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44C"/>
    <w:pPr>
      <w:ind w:left="720"/>
      <w:contextualSpacing/>
    </w:pPr>
  </w:style>
  <w:style w:type="paragraph" w:styleId="BalloonText">
    <w:name w:val="Balloon Text"/>
    <w:basedOn w:val="Normal"/>
    <w:link w:val="BalloonTextChar"/>
    <w:uiPriority w:val="99"/>
    <w:semiHidden/>
    <w:unhideWhenUsed/>
    <w:rsid w:val="00014BE8"/>
    <w:rPr>
      <w:rFonts w:ascii="Tahoma" w:hAnsi="Tahoma" w:cs="Tahoma"/>
      <w:sz w:val="16"/>
      <w:szCs w:val="16"/>
    </w:rPr>
  </w:style>
  <w:style w:type="character" w:customStyle="1" w:styleId="BalloonTextChar">
    <w:name w:val="Balloon Text Char"/>
    <w:basedOn w:val="DefaultParagraphFont"/>
    <w:link w:val="BalloonText"/>
    <w:uiPriority w:val="99"/>
    <w:semiHidden/>
    <w:rsid w:val="00014BE8"/>
    <w:rPr>
      <w:rFonts w:ascii="Tahoma" w:hAnsi="Tahoma" w:cs="Tahoma"/>
      <w:sz w:val="16"/>
      <w:szCs w:val="16"/>
    </w:rPr>
  </w:style>
  <w:style w:type="paragraph" w:styleId="NormalWeb">
    <w:name w:val="Normal (Web)"/>
    <w:basedOn w:val="Normal"/>
    <w:uiPriority w:val="99"/>
    <w:semiHidden/>
    <w:unhideWhenUsed/>
    <w:rsid w:val="00EF399B"/>
    <w:pPr>
      <w:spacing w:before="100" w:beforeAutospacing="1" w:after="100" w:afterAutospacing="1"/>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6B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1744C"/>
    <w:pPr>
      <w:ind w:left="720"/>
      <w:contextualSpacing/>
    </w:pPr>
  </w:style>
  <w:style w:type="paragraph" w:styleId="BalloonText">
    <w:name w:val="Balloon Text"/>
    <w:basedOn w:val="Normal"/>
    <w:link w:val="BalloonTextChar"/>
    <w:uiPriority w:val="99"/>
    <w:semiHidden/>
    <w:unhideWhenUsed/>
    <w:rsid w:val="00014BE8"/>
    <w:rPr>
      <w:rFonts w:ascii="Tahoma" w:hAnsi="Tahoma" w:cs="Tahoma"/>
      <w:sz w:val="16"/>
      <w:szCs w:val="16"/>
    </w:rPr>
  </w:style>
  <w:style w:type="character" w:customStyle="1" w:styleId="BalloonTextChar">
    <w:name w:val="Balloon Text Char"/>
    <w:basedOn w:val="DefaultParagraphFont"/>
    <w:link w:val="BalloonText"/>
    <w:uiPriority w:val="99"/>
    <w:semiHidden/>
    <w:rsid w:val="00014BE8"/>
    <w:rPr>
      <w:rFonts w:ascii="Tahoma" w:hAnsi="Tahoma" w:cs="Tahoma"/>
      <w:sz w:val="16"/>
      <w:szCs w:val="16"/>
    </w:rPr>
  </w:style>
  <w:style w:type="paragraph" w:styleId="NormalWeb">
    <w:name w:val="Normal (Web)"/>
    <w:basedOn w:val="Normal"/>
    <w:uiPriority w:val="99"/>
    <w:semiHidden/>
    <w:unhideWhenUsed/>
    <w:rsid w:val="00EF399B"/>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913809">
      <w:bodyDiv w:val="1"/>
      <w:marLeft w:val="0"/>
      <w:marRight w:val="0"/>
      <w:marTop w:val="0"/>
      <w:marBottom w:val="0"/>
      <w:divBdr>
        <w:top w:val="none" w:sz="0" w:space="0" w:color="auto"/>
        <w:left w:val="none" w:sz="0" w:space="0" w:color="auto"/>
        <w:bottom w:val="none" w:sz="0" w:space="0" w:color="auto"/>
        <w:right w:val="none" w:sz="0" w:space="0" w:color="auto"/>
      </w:divBdr>
    </w:div>
    <w:div w:id="227040649">
      <w:bodyDiv w:val="1"/>
      <w:marLeft w:val="0"/>
      <w:marRight w:val="0"/>
      <w:marTop w:val="0"/>
      <w:marBottom w:val="0"/>
      <w:divBdr>
        <w:top w:val="none" w:sz="0" w:space="0" w:color="auto"/>
        <w:left w:val="none" w:sz="0" w:space="0" w:color="auto"/>
        <w:bottom w:val="none" w:sz="0" w:space="0" w:color="auto"/>
        <w:right w:val="none" w:sz="0" w:space="0" w:color="auto"/>
      </w:divBdr>
    </w:div>
    <w:div w:id="528107578">
      <w:bodyDiv w:val="1"/>
      <w:marLeft w:val="0"/>
      <w:marRight w:val="0"/>
      <w:marTop w:val="0"/>
      <w:marBottom w:val="0"/>
      <w:divBdr>
        <w:top w:val="none" w:sz="0" w:space="0" w:color="auto"/>
        <w:left w:val="none" w:sz="0" w:space="0" w:color="auto"/>
        <w:bottom w:val="none" w:sz="0" w:space="0" w:color="auto"/>
        <w:right w:val="none" w:sz="0" w:space="0" w:color="auto"/>
      </w:divBdr>
    </w:div>
    <w:div w:id="829709748">
      <w:bodyDiv w:val="1"/>
      <w:marLeft w:val="0"/>
      <w:marRight w:val="0"/>
      <w:marTop w:val="0"/>
      <w:marBottom w:val="0"/>
      <w:divBdr>
        <w:top w:val="none" w:sz="0" w:space="0" w:color="auto"/>
        <w:left w:val="none" w:sz="0" w:space="0" w:color="auto"/>
        <w:bottom w:val="none" w:sz="0" w:space="0" w:color="auto"/>
        <w:right w:val="none" w:sz="0" w:space="0" w:color="auto"/>
      </w:divBdr>
    </w:div>
    <w:div w:id="1188762396">
      <w:bodyDiv w:val="1"/>
      <w:marLeft w:val="0"/>
      <w:marRight w:val="0"/>
      <w:marTop w:val="0"/>
      <w:marBottom w:val="0"/>
      <w:divBdr>
        <w:top w:val="none" w:sz="0" w:space="0" w:color="auto"/>
        <w:left w:val="none" w:sz="0" w:space="0" w:color="auto"/>
        <w:bottom w:val="none" w:sz="0" w:space="0" w:color="auto"/>
        <w:right w:val="none" w:sz="0" w:space="0" w:color="auto"/>
      </w:divBdr>
    </w:div>
    <w:div w:id="1329364053">
      <w:bodyDiv w:val="1"/>
      <w:marLeft w:val="0"/>
      <w:marRight w:val="0"/>
      <w:marTop w:val="0"/>
      <w:marBottom w:val="0"/>
      <w:divBdr>
        <w:top w:val="none" w:sz="0" w:space="0" w:color="auto"/>
        <w:left w:val="none" w:sz="0" w:space="0" w:color="auto"/>
        <w:bottom w:val="none" w:sz="0" w:space="0" w:color="auto"/>
        <w:right w:val="none" w:sz="0" w:space="0" w:color="auto"/>
      </w:divBdr>
    </w:div>
    <w:div w:id="1617175924">
      <w:bodyDiv w:val="1"/>
      <w:marLeft w:val="0"/>
      <w:marRight w:val="0"/>
      <w:marTop w:val="0"/>
      <w:marBottom w:val="0"/>
      <w:divBdr>
        <w:top w:val="none" w:sz="0" w:space="0" w:color="auto"/>
        <w:left w:val="none" w:sz="0" w:space="0" w:color="auto"/>
        <w:bottom w:val="none" w:sz="0" w:space="0" w:color="auto"/>
        <w:right w:val="none" w:sz="0" w:space="0" w:color="auto"/>
      </w:divBdr>
    </w:div>
    <w:div w:id="1796026004">
      <w:bodyDiv w:val="1"/>
      <w:marLeft w:val="0"/>
      <w:marRight w:val="0"/>
      <w:marTop w:val="0"/>
      <w:marBottom w:val="0"/>
      <w:divBdr>
        <w:top w:val="none" w:sz="0" w:space="0" w:color="auto"/>
        <w:left w:val="none" w:sz="0" w:space="0" w:color="auto"/>
        <w:bottom w:val="none" w:sz="0" w:space="0" w:color="auto"/>
        <w:right w:val="none" w:sz="0" w:space="0" w:color="auto"/>
      </w:divBdr>
    </w:div>
    <w:div w:id="1923904758">
      <w:bodyDiv w:val="1"/>
      <w:marLeft w:val="0"/>
      <w:marRight w:val="0"/>
      <w:marTop w:val="0"/>
      <w:marBottom w:val="0"/>
      <w:divBdr>
        <w:top w:val="none" w:sz="0" w:space="0" w:color="auto"/>
        <w:left w:val="none" w:sz="0" w:space="0" w:color="auto"/>
        <w:bottom w:val="none" w:sz="0" w:space="0" w:color="auto"/>
        <w:right w:val="none" w:sz="0" w:space="0" w:color="auto"/>
      </w:divBdr>
    </w:div>
    <w:div w:id="207751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Risk Parent Content Type" ma:contentTypeID="0x010100B5F11B951D482B4189569C9B24F4301B00ECEA6A038788CC44A79AD10DCE1ABA66" ma:contentTypeVersion="7" ma:contentTypeDescription="" ma:contentTypeScope="" ma:versionID="d887d941a32550d8cf1d3272cd041b7f">
  <xsd:schema xmlns:xsd="http://www.w3.org/2001/XMLSchema" xmlns:xs="http://www.w3.org/2001/XMLSchema" xmlns:p="http://schemas.microsoft.com/office/2006/metadata/properties" xmlns:ns2="4de24acf-c24c-432d-968a-cf3ade046b87" xmlns:ns3="978fb9ad-7fde-4720-8c84-b4c35ec43a53" targetNamespace="http://schemas.microsoft.com/office/2006/metadata/properties" ma:root="true" ma:fieldsID="972aaa6e5768ec93e8457268e9875c1e" ns2:_="" ns3:_="">
    <xsd:import namespace="4de24acf-c24c-432d-968a-cf3ade046b87"/>
    <xsd:import namespace="978fb9ad-7fde-4720-8c84-b4c35ec43a53"/>
    <xsd:element name="properties">
      <xsd:complexType>
        <xsd:sequence>
          <xsd:element name="documentManagement">
            <xsd:complexType>
              <xsd:all>
                <xsd:element ref="ns2:Faculty_x0020_Name" minOccurs="0"/>
                <xsd:element ref="ns2:Campus_x0020_Name" minOccurs="0"/>
                <xsd:element ref="ns2:Building_x0020_Name" minOccurs="0"/>
                <xsd:element ref="ns2:Document_x0020_Type" minOccurs="0"/>
                <xsd:element ref="ns2:Yea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e24acf-c24c-432d-968a-cf3ade046b87" elementFormDefault="qualified">
    <xsd:import namespace="http://schemas.microsoft.com/office/2006/documentManagement/types"/>
    <xsd:import namespace="http://schemas.microsoft.com/office/infopath/2007/PartnerControls"/>
    <xsd:element name="Faculty_x0020_Name" ma:index="8" nillable="true" ma:displayName="Faculty Name" ma:internalName="Faculty_x0020_Name" ma:readOnly="false">
      <xsd:complexType>
        <xsd:complexContent>
          <xsd:extension base="dms:MultiChoice">
            <xsd:sequence>
              <xsd:element name="Value" maxOccurs="unbounded" minOccurs="0" nillable="true">
                <xsd:simpleType>
                  <xsd:restriction base="dms:Choice">
                    <xsd:enumeration value="Multiple"/>
                    <xsd:enumeration value="FoE"/>
                    <xsd:enumeration value="FoM"/>
                    <xsd:enumeration value="FoNS"/>
                    <xsd:enumeration value="Business School"/>
                    <xsd:enumeration value="Support Services"/>
                    <xsd:enumeration value="Academic Services/Other"/>
                  </xsd:restriction>
                </xsd:simpleType>
              </xsd:element>
            </xsd:sequence>
          </xsd:extension>
        </xsd:complexContent>
      </xsd:complexType>
    </xsd:element>
    <xsd:element name="Campus_x0020_Name" ma:index="9" nillable="true" ma:displayName="Campus Name" ma:internalName="Campus_x0020_Name">
      <xsd:complexType>
        <xsd:complexContent>
          <xsd:extension base="dms:MultiChoice">
            <xsd:sequence>
              <xsd:element name="Value" maxOccurs="unbounded" minOccurs="0" nillable="true">
                <xsd:simpleType>
                  <xsd:restriction base="dms:Choice">
                    <xsd:enumeration value="All"/>
                    <xsd:enumeration value="South Kensington"/>
                    <xsd:enumeration value="Hammersmith"/>
                    <xsd:enumeration value="St Mary’s"/>
                    <xsd:enumeration value="Charing Cross"/>
                    <xsd:enumeration value="Chelsea &amp; Westminster"/>
                    <xsd:enumeration value="Royal Brompton"/>
                    <xsd:enumeration value="Northwick Park"/>
                    <xsd:enumeration value="Silwood Park"/>
                    <xsd:enumeration value="Wye"/>
                    <xsd:enumeration value="Evelyn Gardens"/>
                  </xsd:restriction>
                </xsd:simpleType>
              </xsd:element>
            </xsd:sequence>
          </xsd:extension>
        </xsd:complexContent>
      </xsd:complexType>
    </xsd:element>
    <xsd:element name="Building_x0020_Name" ma:index="10" nillable="true" ma:displayName="Building Name" ma:format="Dropdown" ma:internalName="Building_x0020_Name">
      <xsd:simpleType>
        <xsd:restriction base="dms:Choice">
          <xsd:enumeration value="Multiple"/>
          <xsd:enumeration value="SOUTH KENSINGTON CAMPUS"/>
          <xsd:enumeration value="170 Queens Gate"/>
          <xsd:enumeration value="14 Prince's Gardens North Side"/>
          <xsd:enumeration value="15 Prince’s Gardens North Side"/>
          <xsd:enumeration value="46 - 48 Prince's Gardens"/>
          <xsd:enumeration value="58 Prince's Gardens"/>
          <xsd:enumeration value="52 Prince's Gate"/>
          <xsd:enumeration value="53 Prince's Gate"/>
          <xsd:enumeration value="ACE Extension"/>
          <xsd:enumeration value="Beit Quad"/>
          <xsd:enumeration value="Bessemer"/>
          <xsd:enumeration value="Biochemistry"/>
          <xsd:enumeration value="Blackett"/>
          <xsd:enumeration value="Bone"/>
          <xsd:enumeration value="Business School"/>
          <xsd:enumeration value="Chemistry Building"/>
          <xsd:enumeration value="Eastside"/>
          <xsd:enumeration value="Electrical Engineering"/>
          <xsd:enumeration value="Ethos"/>
          <xsd:enumeration value="Faculty Building"/>
          <xsd:enumeration value="Flowers"/>
          <xsd:enumeration value="Garden Hall"/>
          <xsd:enumeration value="Health Centre"/>
          <xsd:enumeration value="Huxley"/>
          <xsd:enumeration value="Huxley Undercroft Wolfson Foundation Lab"/>
          <xsd:enumeration value="Library"/>
          <xsd:enumeration value="Mech Eng"/>
          <xsd:enumeration value="RCS1"/>
          <xsd:enumeration value="Roderic Hill"/>
          <xsd:enumeration value="RSM/Aston Web/Goldsmith"/>
          <xsd:enumeration value="Sherfield"/>
          <xsd:enumeration value="Sir Alexander Fleming"/>
          <xsd:enumeration value="Skempton"/>
          <xsd:enumeration value="Southside"/>
          <xsd:enumeration value="Southwell"/>
          <xsd:enumeration value="Student Union Bookshop"/>
          <xsd:enumeration value="Weeks Hall"/>
          <xsd:enumeration value="William Penny Lab"/>
          <xsd:enumeration value="Evelyn Gardens"/>
          <xsd:enumeration value="Bernard Sunley House"/>
          <xsd:enumeration value="Fishers Hall"/>
          <xsd:enumeration value="Holbein Hall"/>
          <xsd:enumeration value="Willis Jackson Hall"/>
          <xsd:enumeration value="HAMMERSMITH"/>
          <xsd:enumeration value="B Block"/>
          <xsd:enumeration value="Burlington Danes East Lab"/>
          <xsd:enumeration value="Burlington Danes Energy Centre"/>
          <xsd:enumeration value="Burlington Danes West Lab"/>
          <xsd:enumeration value="Clinical Research"/>
          <xsd:enumeration value="Collier Building"/>
          <xsd:enumeration value="Commonwealth Building"/>
          <xsd:enumeration value="Francis Fraser"/>
          <xsd:enumeration value="IRDB"/>
          <xsd:enumeration value="J Block"/>
          <xsd:enumeration value="L Block"/>
          <xsd:enumeration value="Lower Medical Corridor"/>
          <xsd:enumeration value="MRC Annex"/>
          <xsd:enumeration value="MRC Cyclotron"/>
          <xsd:enumeration value="Neptune"/>
          <xsd:enumeration value="Robert Steiner"/>
          <xsd:enumeration value="U Block"/>
          <xsd:enumeration value="ROYAL BROMPTON"/>
          <xsd:enumeration value="EKB"/>
          <xsd:enumeration value="Guy Scadding"/>
          <xsd:enumeration value="Charing Cross"/>
          <xsd:enumeration value="Glenister"/>
          <xsd:enumeration value="Reynolds"/>
          <xsd:enumeration value="St. Mary’s"/>
          <xsd:enumeration value="Medical School"/>
          <xsd:enumeration value="SILWOOD"/>
          <xsd:enumeration value="Biology Store"/>
          <xsd:enumeration value="Brian Flowers"/>
          <xsd:enumeration value="Civil Engineering Store"/>
          <xsd:enumeration value="CPB"/>
          <xsd:enumeration value="Drive Field Lab"/>
          <xsd:enumeration value="EAS Building"/>
          <xsd:enumeration value="East Lodge"/>
          <xsd:enumeration value="Farm"/>
          <xsd:enumeration value="Maintenance Workshop"/>
          <xsd:enumeration value="LEES Building"/>
          <xsd:enumeration value="Munro Building"/>
          <xsd:enumeration value="Gardenwood South"/>
          <xsd:enumeration value="Kennedy"/>
          <xsd:enumeration value="Greenhouses"/>
          <xsd:enumeration value="Gym"/>
          <xsd:enumeration value="Insectary"/>
          <xsd:enumeration value="IPARC"/>
          <xsd:enumeration value="John Smith"/>
          <xsd:enumeration value="M Scan"/>
          <xsd:enumeration value="Manor House"/>
          <xsd:enumeration value="Mary Flowers"/>
          <xsd:enumeration value="Nursery Buildings"/>
          <xsd:enumeration value="Reactor Centre"/>
          <xsd:enumeration value="Refectory"/>
          <xsd:enumeration value="Rectory Bungalow"/>
          <xsd:enumeration value="Residential Hut 4"/>
          <xsd:enumeration value="Security Gatehouse"/>
          <xsd:enumeration value="Silwood Business Centre"/>
          <xsd:enumeration value="Silwood Lodge"/>
          <xsd:enumeration value="South Lodge"/>
          <xsd:enumeration value="Southwood 1"/>
          <xsd:enumeration value="Southwood 2"/>
          <xsd:enumeration value="Southwood 3"/>
          <xsd:enumeration value="SPARS"/>
          <xsd:enumeration value="Stable Yard"/>
          <xsd:enumeration value="Tractor Sheds"/>
          <xsd:enumeration value="Virginia Water Lodge"/>
          <xsd:enumeration value="Visitors Lodge"/>
          <xsd:enumeration value="William Penney"/>
          <xsd:enumeration value="Hamilton"/>
        </xsd:restriction>
      </xsd:simpleType>
    </xsd:element>
    <xsd:element name="Document_x0020_Type" ma:index="11" nillable="true" ma:displayName="Document Type" ma:internalName="Document_x0020_Type2">
      <xsd:simpleType>
        <xsd:restriction base="dms:Text">
          <xsd:maxLength value="255"/>
        </xsd:restriction>
      </xsd:simpleType>
    </xsd:element>
    <xsd:element name="Year" ma:index="12" nillable="true" ma:displayName="Year" ma:internalName="Year2">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8fb9ad-7fde-4720-8c84-b4c35ec43a53"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Building_x0020_Name xmlns="4de24acf-c24c-432d-968a-cf3ade046b87" xsi:nil="true"/>
    <Campus_x0020_Name xmlns="4de24acf-c24c-432d-968a-cf3ade046b87"/>
    <Year xmlns="4de24acf-c24c-432d-968a-cf3ade046b87" xsi:nil="true"/>
    <Faculty_x0020_Name xmlns="4de24acf-c24c-432d-968a-cf3ade046b87"/>
    <Document_x0020_Type xmlns="4de24acf-c24c-432d-968a-cf3ade046b87" xsi:nil="true"/>
    <_dlc_DocId xmlns="978fb9ad-7fde-4720-8c84-b4c35ec43a53">PHV3N6P4EV57-8118-1853</_dlc_DocId>
    <_dlc_DocIdUrl xmlns="978fb9ad-7fde-4720-8c84-b4c35ec43a53">
      <Url>https://share.imperial.ac.uk/services/risk/DR/_layouts/DocIdRedir.aspx?ID=PHV3N6P4EV57-8118-1853</Url>
      <Description>PHV3N6P4EV57-8118-1853</Description>
    </_dlc_DocIdUrl>
  </documentManagement>
</p:properties>
</file>

<file path=customXml/itemProps1.xml><?xml version="1.0" encoding="utf-8"?>
<ds:datastoreItem xmlns:ds="http://schemas.openxmlformats.org/officeDocument/2006/customXml" ds:itemID="{98884CC8-45AA-4A20-84F4-99A2D8619402}">
  <ds:schemaRefs>
    <ds:schemaRef ds:uri="http://schemas.microsoft.com/sharepoint/v3/contenttype/forms"/>
  </ds:schemaRefs>
</ds:datastoreItem>
</file>

<file path=customXml/itemProps2.xml><?xml version="1.0" encoding="utf-8"?>
<ds:datastoreItem xmlns:ds="http://schemas.openxmlformats.org/officeDocument/2006/customXml" ds:itemID="{52092A6F-C4CE-4722-91B6-0F4D2E9AA159}">
  <ds:schemaRefs>
    <ds:schemaRef ds:uri="http://schemas.microsoft.com/sharepoint/events"/>
  </ds:schemaRefs>
</ds:datastoreItem>
</file>

<file path=customXml/itemProps3.xml><?xml version="1.0" encoding="utf-8"?>
<ds:datastoreItem xmlns:ds="http://schemas.openxmlformats.org/officeDocument/2006/customXml" ds:itemID="{5257B82A-933B-4CE0-8667-EAA988CFFF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e24acf-c24c-432d-968a-cf3ade046b87"/>
    <ds:schemaRef ds:uri="978fb9ad-7fde-4720-8c84-b4c35ec43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180AB0-9680-4912-B7F7-1D2FB45211C4}">
  <ds:schemaRefs>
    <ds:schemaRef ds:uri="http://schemas.microsoft.com/office/2006/documentManagement/types"/>
    <ds:schemaRef ds:uri="http://purl.org/dc/dcmitype/"/>
    <ds:schemaRef ds:uri="http://schemas.microsoft.com/office/infopath/2007/PartnerControls"/>
    <ds:schemaRef ds:uri="4de24acf-c24c-432d-968a-cf3ade046b87"/>
    <ds:schemaRef ds:uri="978fb9ad-7fde-4720-8c84-b4c35ec43a53"/>
    <ds:schemaRef ds:uri="http://purl.org/dc/elements/1.1/"/>
    <ds:schemaRef ds:uri="http://schemas.microsoft.com/office/2006/metadata/properties"/>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440</Words>
  <Characters>2512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2947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 Nick</dc:creator>
  <cp:lastModifiedBy>Kay, Nick</cp:lastModifiedBy>
  <cp:revision>2</cp:revision>
  <cp:lastPrinted>2015-01-23T11:28:00Z</cp:lastPrinted>
  <dcterms:created xsi:type="dcterms:W3CDTF">2015-06-11T11:09:00Z</dcterms:created>
  <dcterms:modified xsi:type="dcterms:W3CDTF">2015-06-11T11:09:00Z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0x010100B5F11B951D482B4189569C9B24F4301B00ECEA6A038788CC44A79AD10DCE1ABA66</vt:lpwstr>
  </property>
  <property fmtid="{D5CDD505-2E9C-101B-9397-08002B2CF9AE}" pid="3" name="_dlc_DocIdItemGuid">
    <vt:lpwstr>7eb14cef-d570-466f-9145-7589d70b3d89</vt:lpwstr>
  </property>
</Properties>
</file>